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 w:val="32"/>
          <w:szCs w:val="32"/>
        </w:rPr>
      </w:pPr>
      <w:r>
        <w:rPr>
          <w:rFonts w:hint="eastAsia" w:ascii="黑体" w:hAnsi="黑体" w:eastAsia="黑体"/>
          <w:sz w:val="32"/>
          <w:szCs w:val="32"/>
        </w:rPr>
        <w:t>附件2</w:t>
      </w:r>
    </w:p>
    <w:p>
      <w:pPr>
        <w:spacing w:line="560" w:lineRule="exact"/>
        <w:jc w:val="center"/>
        <w:outlineLvl w:val="1"/>
        <w:rPr>
          <w:rFonts w:hint="eastAsia" w:ascii="仿宋_GB2312" w:eastAsia="仿宋_GB2312"/>
          <w:sz w:val="44"/>
          <w:szCs w:val="44"/>
        </w:rPr>
      </w:pPr>
      <w:r>
        <w:rPr>
          <w:rFonts w:hint="eastAsia" w:ascii="方正小标宋简体" w:hAnsi="宋体" w:eastAsia="方正小标宋简体" w:cs="宋体"/>
          <w:color w:val="000000"/>
          <w:kern w:val="0"/>
          <w:sz w:val="44"/>
          <w:szCs w:val="44"/>
        </w:rPr>
        <w:t>20</w:t>
      </w:r>
      <w:r>
        <w:rPr>
          <w:rFonts w:hint="eastAsia" w:ascii="方正小标宋简体" w:hAnsi="宋体" w:eastAsia="方正小标宋简体" w:cs="宋体"/>
          <w:color w:val="000000"/>
          <w:kern w:val="0"/>
          <w:sz w:val="44"/>
          <w:szCs w:val="44"/>
          <w:lang w:val="en-US" w:eastAsia="zh-CN"/>
        </w:rPr>
        <w:t>21</w:t>
      </w:r>
      <w:r>
        <w:rPr>
          <w:rFonts w:hint="eastAsia" w:ascii="方正小标宋简体" w:hAnsi="宋体" w:eastAsia="方正小标宋简体" w:cs="宋体"/>
          <w:color w:val="000000"/>
          <w:kern w:val="0"/>
          <w:sz w:val="44"/>
          <w:szCs w:val="44"/>
        </w:rPr>
        <w:t>年度自治区本级预算项目</w:t>
      </w:r>
      <w:r>
        <w:rPr>
          <w:rFonts w:hint="eastAsia" w:ascii="方正小标宋简体" w:hAnsi="宋体" w:eastAsia="方正小标宋简体" w:cs="宋体"/>
          <w:color w:val="000000"/>
          <w:kern w:val="0"/>
          <w:sz w:val="44"/>
          <w:szCs w:val="44"/>
          <w:lang w:eastAsia="zh-CN"/>
        </w:rPr>
        <w:t>绩效</w:t>
      </w:r>
      <w:r>
        <w:rPr>
          <w:rFonts w:hint="eastAsia" w:ascii="方正小标宋简体" w:hAnsi="宋体" w:eastAsia="方正小标宋简体" w:cs="宋体"/>
          <w:color w:val="000000"/>
          <w:kern w:val="0"/>
          <w:sz w:val="44"/>
          <w:szCs w:val="44"/>
        </w:rPr>
        <w:t>评价评分表</w:t>
      </w:r>
    </w:p>
    <w:tbl>
      <w:tblPr>
        <w:tblStyle w:val="2"/>
        <w:tblW w:w="144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766"/>
        <w:gridCol w:w="1235"/>
        <w:gridCol w:w="1395"/>
        <w:gridCol w:w="1533"/>
        <w:gridCol w:w="3372"/>
        <w:gridCol w:w="915"/>
        <w:gridCol w:w="780"/>
        <w:gridCol w:w="2353"/>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4" w:hRule="atLeast"/>
          <w:tblHeader/>
          <w:jc w:val="center"/>
        </w:trPr>
        <w:tc>
          <w:tcPr>
            <w:tcW w:w="84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b/>
                <w:bCs/>
                <w:color w:val="auto"/>
                <w:kern w:val="0"/>
                <w:szCs w:val="21"/>
                <w:highlight w:val="none"/>
              </w:rPr>
            </w:pPr>
            <w:r>
              <w:rPr>
                <w:rFonts w:hint="eastAsia" w:ascii="宋体" w:hAnsi="宋体" w:cs="宋体"/>
                <w:b/>
                <w:bCs/>
                <w:color w:val="auto"/>
                <w:kern w:val="0"/>
                <w:szCs w:val="21"/>
                <w:highlight w:val="none"/>
              </w:rPr>
              <w:t>一级</w:t>
            </w:r>
          </w:p>
          <w:p>
            <w:pPr>
              <w:widowControl/>
              <w:spacing w:line="260" w:lineRule="exact"/>
              <w:rPr>
                <w:rFonts w:ascii="宋体" w:hAnsi="宋体" w:cs="宋体"/>
                <w:b/>
                <w:bCs/>
                <w:color w:val="auto"/>
                <w:kern w:val="0"/>
                <w:szCs w:val="21"/>
                <w:highlight w:val="none"/>
              </w:rPr>
            </w:pPr>
            <w:r>
              <w:rPr>
                <w:rFonts w:hint="eastAsia" w:ascii="宋体" w:hAnsi="宋体" w:cs="宋体"/>
                <w:b/>
                <w:bCs/>
                <w:color w:val="auto"/>
                <w:kern w:val="0"/>
                <w:szCs w:val="21"/>
                <w:highlight w:val="none"/>
              </w:rPr>
              <w:t>指标</w:t>
            </w:r>
          </w:p>
        </w:tc>
        <w:tc>
          <w:tcPr>
            <w:tcW w:w="76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b/>
                <w:bCs/>
                <w:color w:val="auto"/>
                <w:kern w:val="0"/>
                <w:szCs w:val="21"/>
                <w:highlight w:val="none"/>
              </w:rPr>
            </w:pPr>
            <w:r>
              <w:rPr>
                <w:rFonts w:hint="eastAsia" w:ascii="宋体" w:hAnsi="宋体" w:cs="宋体"/>
                <w:b/>
                <w:bCs/>
                <w:color w:val="auto"/>
                <w:kern w:val="0"/>
                <w:szCs w:val="21"/>
                <w:highlight w:val="none"/>
              </w:rPr>
              <w:t>二级</w:t>
            </w:r>
          </w:p>
          <w:p>
            <w:pPr>
              <w:widowControl/>
              <w:spacing w:line="260" w:lineRule="exact"/>
              <w:rPr>
                <w:rFonts w:ascii="宋体" w:hAnsi="宋体" w:cs="宋体"/>
                <w:b/>
                <w:bCs/>
                <w:color w:val="auto"/>
                <w:kern w:val="0"/>
                <w:szCs w:val="21"/>
                <w:highlight w:val="none"/>
              </w:rPr>
            </w:pPr>
            <w:r>
              <w:rPr>
                <w:rFonts w:hint="eastAsia" w:ascii="宋体" w:hAnsi="宋体" w:cs="宋体"/>
                <w:b/>
                <w:bCs/>
                <w:color w:val="auto"/>
                <w:kern w:val="0"/>
                <w:szCs w:val="21"/>
                <w:highlight w:val="none"/>
              </w:rPr>
              <w:t>指标</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b/>
                <w:bCs/>
                <w:color w:val="auto"/>
                <w:kern w:val="0"/>
                <w:szCs w:val="21"/>
                <w:highlight w:val="none"/>
              </w:rPr>
            </w:pPr>
            <w:r>
              <w:rPr>
                <w:rFonts w:hint="eastAsia" w:ascii="宋体" w:hAnsi="宋体" w:cs="宋体"/>
                <w:b/>
                <w:bCs/>
                <w:color w:val="auto"/>
                <w:kern w:val="0"/>
                <w:szCs w:val="21"/>
                <w:highlight w:val="none"/>
              </w:rPr>
              <w:t>三级</w:t>
            </w:r>
          </w:p>
          <w:p>
            <w:pPr>
              <w:widowControl/>
              <w:spacing w:line="260" w:lineRule="exact"/>
              <w:rPr>
                <w:rFonts w:ascii="宋体" w:hAnsi="宋体" w:cs="宋体"/>
                <w:b/>
                <w:bCs/>
                <w:color w:val="auto"/>
                <w:kern w:val="0"/>
                <w:szCs w:val="21"/>
                <w:highlight w:val="none"/>
              </w:rPr>
            </w:pPr>
            <w:r>
              <w:rPr>
                <w:rFonts w:hint="eastAsia" w:ascii="宋体" w:hAnsi="宋体" w:cs="宋体"/>
                <w:b/>
                <w:bCs/>
                <w:color w:val="auto"/>
                <w:kern w:val="0"/>
                <w:szCs w:val="21"/>
                <w:highlight w:val="none"/>
              </w:rPr>
              <w:t>指标</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b/>
                <w:bCs/>
                <w:color w:val="auto"/>
                <w:kern w:val="0"/>
                <w:szCs w:val="21"/>
                <w:highlight w:val="none"/>
              </w:rPr>
            </w:pPr>
            <w:r>
              <w:rPr>
                <w:rFonts w:hint="eastAsia" w:ascii="宋体" w:hAnsi="宋体" w:cs="宋体"/>
                <w:b/>
                <w:bCs/>
                <w:color w:val="auto"/>
                <w:kern w:val="0"/>
                <w:szCs w:val="21"/>
                <w:highlight w:val="none"/>
              </w:rPr>
              <w:t>四级</w:t>
            </w:r>
          </w:p>
          <w:p>
            <w:pPr>
              <w:widowControl/>
              <w:spacing w:line="260" w:lineRule="exact"/>
              <w:rPr>
                <w:rFonts w:ascii="宋体" w:hAnsi="宋体" w:cs="宋体"/>
                <w:b/>
                <w:bCs/>
                <w:color w:val="auto"/>
                <w:kern w:val="0"/>
                <w:szCs w:val="21"/>
                <w:highlight w:val="none"/>
              </w:rPr>
            </w:pPr>
            <w:r>
              <w:rPr>
                <w:rFonts w:hint="eastAsia" w:ascii="宋体" w:hAnsi="宋体" w:cs="宋体"/>
                <w:b/>
                <w:bCs/>
                <w:color w:val="auto"/>
                <w:kern w:val="0"/>
                <w:szCs w:val="21"/>
                <w:highlight w:val="none"/>
              </w:rPr>
              <w:t>指标</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630" w:firstLineChars="300"/>
              <w:rPr>
                <w:rFonts w:ascii="宋体" w:hAnsi="宋体" w:cs="宋体"/>
                <w:b/>
                <w:bCs/>
                <w:color w:val="auto"/>
                <w:kern w:val="0"/>
                <w:szCs w:val="21"/>
                <w:highlight w:val="none"/>
              </w:rPr>
            </w:pPr>
            <w:r>
              <w:rPr>
                <w:rFonts w:hint="eastAsia" w:ascii="宋体" w:hAnsi="宋体" w:cs="宋体"/>
                <w:b/>
                <w:bCs/>
                <w:color w:val="auto"/>
                <w:kern w:val="0"/>
                <w:szCs w:val="21"/>
                <w:highlight w:val="none"/>
              </w:rPr>
              <w:t>指标解释</w:t>
            </w:r>
          </w:p>
        </w:tc>
        <w:tc>
          <w:tcPr>
            <w:tcW w:w="337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1253" w:firstLineChars="597"/>
              <w:rPr>
                <w:rFonts w:ascii="宋体" w:hAnsi="宋体" w:cs="宋体"/>
                <w:b/>
                <w:bCs/>
                <w:color w:val="auto"/>
                <w:kern w:val="0"/>
                <w:szCs w:val="21"/>
                <w:highlight w:val="none"/>
              </w:rPr>
            </w:pPr>
            <w:r>
              <w:rPr>
                <w:rFonts w:hint="eastAsia" w:ascii="宋体" w:hAnsi="宋体" w:cs="宋体"/>
                <w:b/>
                <w:bCs/>
                <w:color w:val="auto"/>
                <w:kern w:val="0"/>
                <w:szCs w:val="21"/>
                <w:highlight w:val="none"/>
              </w:rPr>
              <w:t>评分标准</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b/>
                <w:bCs/>
                <w:color w:val="auto"/>
                <w:kern w:val="0"/>
                <w:szCs w:val="21"/>
                <w:highlight w:val="none"/>
              </w:rPr>
            </w:pPr>
            <w:r>
              <w:rPr>
                <w:rFonts w:hint="eastAsia" w:ascii="宋体" w:hAnsi="宋体" w:cs="宋体"/>
                <w:b/>
                <w:bCs/>
                <w:color w:val="auto"/>
                <w:kern w:val="0"/>
                <w:szCs w:val="21"/>
                <w:highlight w:val="none"/>
              </w:rPr>
              <w:t>分值</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b/>
                <w:bCs/>
                <w:color w:val="auto"/>
                <w:kern w:val="0"/>
                <w:szCs w:val="21"/>
                <w:highlight w:val="none"/>
              </w:rPr>
            </w:pPr>
            <w:r>
              <w:rPr>
                <w:rFonts w:hint="eastAsia" w:ascii="宋体" w:hAnsi="宋体" w:cs="宋体"/>
                <w:b/>
                <w:bCs/>
                <w:color w:val="auto"/>
                <w:kern w:val="0"/>
                <w:szCs w:val="21"/>
                <w:highlight w:val="none"/>
              </w:rPr>
              <w:t>单位</w:t>
            </w:r>
          </w:p>
          <w:p>
            <w:pPr>
              <w:widowControl/>
              <w:spacing w:line="260" w:lineRule="exact"/>
              <w:rPr>
                <w:rFonts w:ascii="宋体" w:hAnsi="宋体" w:cs="宋体"/>
                <w:b/>
                <w:bCs/>
                <w:color w:val="auto"/>
                <w:kern w:val="0"/>
                <w:szCs w:val="21"/>
                <w:highlight w:val="none"/>
              </w:rPr>
            </w:pPr>
            <w:r>
              <w:rPr>
                <w:rFonts w:hint="eastAsia" w:ascii="宋体" w:hAnsi="宋体" w:cs="宋体"/>
                <w:b/>
                <w:bCs/>
                <w:color w:val="auto"/>
                <w:kern w:val="0"/>
                <w:szCs w:val="21"/>
                <w:highlight w:val="none"/>
              </w:rPr>
              <w:t>自评分</w:t>
            </w:r>
          </w:p>
        </w:tc>
        <w:tc>
          <w:tcPr>
            <w:tcW w:w="235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b/>
                <w:bCs/>
                <w:color w:val="auto"/>
                <w:kern w:val="0"/>
                <w:szCs w:val="21"/>
                <w:highlight w:val="none"/>
              </w:rPr>
            </w:pPr>
            <w:r>
              <w:rPr>
                <w:rFonts w:hint="eastAsia" w:ascii="宋体" w:hAnsi="宋体" w:cs="宋体"/>
                <w:b/>
                <w:bCs/>
                <w:color w:val="auto"/>
                <w:kern w:val="0"/>
                <w:szCs w:val="21"/>
                <w:highlight w:val="none"/>
              </w:rPr>
              <w:t>单位自评完成情况描述（须附相关佐证材料）</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b/>
                <w:bCs/>
                <w:color w:val="auto"/>
                <w:kern w:val="0"/>
                <w:szCs w:val="21"/>
                <w:highlight w:val="none"/>
              </w:rPr>
            </w:pPr>
            <w:r>
              <w:rPr>
                <w:rFonts w:hint="eastAsia" w:ascii="宋体" w:hAnsi="宋体" w:cs="宋体"/>
                <w:b/>
                <w:bCs/>
                <w:color w:val="auto"/>
                <w:kern w:val="0"/>
                <w:szCs w:val="21"/>
                <w:highlight w:val="none"/>
              </w:rPr>
              <w:t>主要核</w:t>
            </w:r>
          </w:p>
          <w:p>
            <w:pPr>
              <w:widowControl/>
              <w:spacing w:line="260" w:lineRule="exact"/>
              <w:rPr>
                <w:rFonts w:ascii="宋体" w:hAnsi="宋体" w:cs="宋体"/>
                <w:b/>
                <w:bCs/>
                <w:color w:val="auto"/>
                <w:kern w:val="0"/>
                <w:szCs w:val="21"/>
                <w:highlight w:val="none"/>
              </w:rPr>
            </w:pPr>
            <w:r>
              <w:rPr>
                <w:rFonts w:hint="eastAsia" w:ascii="宋体" w:hAnsi="宋体" w:cs="宋体"/>
                <w:b/>
                <w:bCs/>
                <w:color w:val="auto"/>
                <w:kern w:val="0"/>
                <w:szCs w:val="21"/>
                <w:highlight w:val="none"/>
              </w:rPr>
              <w:t>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jc w:val="center"/>
        </w:trPr>
        <w:tc>
          <w:tcPr>
            <w:tcW w:w="284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bCs/>
                <w:color w:val="auto"/>
                <w:kern w:val="0"/>
                <w:szCs w:val="21"/>
                <w:highlight w:val="none"/>
              </w:rPr>
            </w:pPr>
            <w:r>
              <w:rPr>
                <w:rFonts w:hint="eastAsia" w:ascii="宋体" w:hAnsi="宋体" w:cs="宋体"/>
                <w:bCs/>
                <w:color w:val="auto"/>
                <w:kern w:val="0"/>
                <w:szCs w:val="21"/>
                <w:highlight w:val="none"/>
              </w:rPr>
              <w:t>合计</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cs="宋体"/>
                <w:color w:val="auto"/>
                <w:kern w:val="0"/>
                <w:sz w:val="20"/>
                <w:szCs w:val="20"/>
                <w:highlight w:val="none"/>
              </w:rPr>
            </w:pPr>
          </w:p>
        </w:tc>
        <w:tc>
          <w:tcPr>
            <w:tcW w:w="49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bCs/>
                <w:color w:val="auto"/>
                <w:kern w:val="0"/>
                <w:szCs w:val="21"/>
                <w:highlight w:val="none"/>
              </w:rPr>
            </w:pPr>
            <w:r>
              <w:rPr>
                <w:rFonts w:hint="eastAsia" w:ascii="宋体" w:hAnsi="宋体" w:cs="宋体"/>
                <w:bCs/>
                <w:color w:val="auto"/>
                <w:kern w:val="0"/>
                <w:szCs w:val="21"/>
                <w:highlight w:val="none"/>
              </w:rPr>
              <w:t>　</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bCs/>
                <w:color w:val="auto"/>
                <w:kern w:val="0"/>
                <w:szCs w:val="21"/>
                <w:highlight w:val="none"/>
              </w:rPr>
            </w:pPr>
            <w:r>
              <w:rPr>
                <w:rFonts w:hint="eastAsia" w:ascii="宋体" w:hAnsi="宋体" w:cs="宋体"/>
                <w:bCs/>
                <w:color w:val="auto"/>
                <w:kern w:val="0"/>
                <w:szCs w:val="21"/>
                <w:highlight w:val="none"/>
              </w:rPr>
              <w:t>100</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89</w:t>
            </w:r>
          </w:p>
        </w:tc>
        <w:tc>
          <w:tcPr>
            <w:tcW w:w="235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p>
        </w:tc>
        <w:tc>
          <w:tcPr>
            <w:tcW w:w="126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4" w:hRule="atLeast"/>
          <w:jc w:val="center"/>
        </w:trPr>
        <w:tc>
          <w:tcPr>
            <w:tcW w:w="84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bCs/>
                <w:color w:val="auto"/>
                <w:kern w:val="0"/>
                <w:szCs w:val="21"/>
                <w:highlight w:val="none"/>
              </w:rPr>
            </w:pPr>
            <w:r>
              <w:rPr>
                <w:rFonts w:hint="eastAsia" w:ascii="宋体" w:hAnsi="宋体" w:cs="宋体"/>
                <w:bCs/>
                <w:color w:val="auto"/>
                <w:kern w:val="0"/>
                <w:szCs w:val="21"/>
                <w:highlight w:val="none"/>
              </w:rPr>
              <w:t>投入</w:t>
            </w:r>
          </w:p>
          <w:p>
            <w:pPr>
              <w:widowControl/>
              <w:spacing w:line="260" w:lineRule="exact"/>
              <w:rPr>
                <w:rFonts w:ascii="宋体" w:hAnsi="宋体" w:cs="宋体"/>
                <w:bCs/>
                <w:color w:val="auto"/>
                <w:kern w:val="0"/>
                <w:szCs w:val="21"/>
                <w:highlight w:val="none"/>
              </w:rPr>
            </w:pPr>
            <w:r>
              <w:rPr>
                <w:rFonts w:hint="eastAsia" w:ascii="宋体" w:hAnsi="宋体" w:cs="宋体"/>
                <w:bCs/>
                <w:color w:val="auto"/>
                <w:kern w:val="0"/>
                <w:szCs w:val="21"/>
                <w:highlight w:val="none"/>
              </w:rPr>
              <w:t>(5分)</w:t>
            </w:r>
          </w:p>
        </w:tc>
        <w:tc>
          <w:tcPr>
            <w:tcW w:w="76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（一）前期准备（5分）</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1.项目决策</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项目申请、设立过程是否符合相关要求，用以反映和考核项目立项规范性和可行性情况。</w:t>
            </w:r>
          </w:p>
        </w:tc>
        <w:tc>
          <w:tcPr>
            <w:tcW w:w="337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1.项目设立有据可依（如有政策文件规定或自治区领导批示等），与国家、自治区、市县相关政策相符的，得3分。项目设立无依据扣2分；与国家、自治区、市县相关政策不符的，每发现一处扣1分，扣完为止。</w:t>
            </w:r>
          </w:p>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2.项目具体明确，合理可行，且资金结构合理的，得2分。项目计划内容不具体或不具备可行性的，扣1分；资金结构不合理的，扣1分。</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5</w:t>
            </w:r>
          </w:p>
        </w:tc>
        <w:tc>
          <w:tcPr>
            <w:tcW w:w="235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lang w:eastAsia="zh-CN"/>
              </w:rPr>
              <w:t>本项目设立有据可依，按照国务院、国家统计局、自治区人民政府等有关政策文件规定开展，并按要求制定了部门预算文本。</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项目方案材料：如可行性报告、项目方案、项目招投标文件、部门预算文本等。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jc w:val="center"/>
        </w:trPr>
        <w:tc>
          <w:tcPr>
            <w:tcW w:w="84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bCs/>
                <w:color w:val="auto"/>
                <w:kern w:val="0"/>
                <w:szCs w:val="21"/>
                <w:highlight w:val="none"/>
              </w:rPr>
            </w:pPr>
            <w:r>
              <w:rPr>
                <w:rFonts w:hint="eastAsia" w:ascii="宋体" w:hAnsi="宋体" w:cs="宋体"/>
                <w:bCs/>
                <w:color w:val="auto"/>
                <w:kern w:val="0"/>
                <w:szCs w:val="21"/>
                <w:highlight w:val="none"/>
              </w:rPr>
              <w:t>过程</w:t>
            </w:r>
          </w:p>
          <w:p>
            <w:pPr>
              <w:widowControl/>
              <w:spacing w:line="260" w:lineRule="exact"/>
              <w:rPr>
                <w:rFonts w:ascii="宋体" w:hAnsi="宋体" w:cs="宋体"/>
                <w:bCs/>
                <w:color w:val="auto"/>
                <w:kern w:val="0"/>
                <w:szCs w:val="21"/>
                <w:highlight w:val="none"/>
              </w:rPr>
            </w:pPr>
            <w:r>
              <w:rPr>
                <w:rFonts w:hint="eastAsia" w:ascii="宋体" w:hAnsi="宋体" w:cs="宋体"/>
                <w:bCs/>
                <w:color w:val="auto"/>
                <w:kern w:val="0"/>
                <w:szCs w:val="21"/>
                <w:highlight w:val="none"/>
              </w:rPr>
              <w:t>(35分)</w:t>
            </w:r>
          </w:p>
        </w:tc>
        <w:tc>
          <w:tcPr>
            <w:tcW w:w="76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（二）项目管理(10分)</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2.项目管理制度</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是否制定项目管理办法或有可参照执行的项目管理办法。</w:t>
            </w:r>
          </w:p>
        </w:tc>
        <w:tc>
          <w:tcPr>
            <w:tcW w:w="337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制定项目管理办法或有可参照执行的项目管理办法，且项目管理办法合法、合规、完整，得1分；有项目管理办法，但存在不合法、不合规、不完整等情况的，扣0.5分；无项目管理办法得0分。</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0.5</w:t>
            </w:r>
          </w:p>
        </w:tc>
        <w:tc>
          <w:tcPr>
            <w:tcW w:w="235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lang w:eastAsia="zh-CN"/>
              </w:rPr>
              <w:t>严格执行主管部门有关项目管理制度，并制定了内部控制报告和流程图。</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项目管理制度等。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jc w:val="center"/>
        </w:trPr>
        <w:tc>
          <w:tcPr>
            <w:tcW w:w="8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Cs/>
                <w:color w:val="auto"/>
                <w:kern w:val="0"/>
                <w:szCs w:val="21"/>
                <w:highlight w:val="none"/>
              </w:rPr>
            </w:pPr>
          </w:p>
        </w:tc>
        <w:tc>
          <w:tcPr>
            <w:tcW w:w="7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p>
        </w:tc>
        <w:tc>
          <w:tcPr>
            <w:tcW w:w="123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 xml:space="preserve">3.制度执行有效性 </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项目实施是否符合相关业务管理规定。</w:t>
            </w:r>
          </w:p>
        </w:tc>
        <w:tc>
          <w:tcPr>
            <w:tcW w:w="337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 xml:space="preserve">1.项目实施遵守相关法律法规和业务管理规定，项目调整及支出调整按规定履行报批手续的，得1分。 </w:t>
            </w:r>
          </w:p>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2.项目采购或招投标、建设、监理、验收等严格执行相关制度规定，得4分；每发现一处不符合扣1分，扣完为止。</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5</w:t>
            </w:r>
          </w:p>
        </w:tc>
        <w:tc>
          <w:tcPr>
            <w:tcW w:w="235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eastAsia="zh-CN"/>
              </w:rPr>
              <w:t>制定了内部控制报告和流程图，并严格</w:t>
            </w:r>
            <w:r>
              <w:rPr>
                <w:rFonts w:hint="eastAsia" w:ascii="宋体" w:hAnsi="宋体" w:cs="宋体"/>
                <w:color w:val="auto"/>
                <w:kern w:val="0"/>
                <w:szCs w:val="21"/>
                <w:highlight w:val="none"/>
              </w:rPr>
              <w:t xml:space="preserve">遵守相关法律法规和业务管理规定，项目调整及支出调整按规定履行报批手续的。 </w:t>
            </w:r>
          </w:p>
          <w:p>
            <w:pPr>
              <w:widowControl/>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项目采购、验收等严格执行相关制度规定</w:t>
            </w:r>
            <w:r>
              <w:rPr>
                <w:rFonts w:hint="eastAsia" w:ascii="宋体" w:hAnsi="宋体" w:cs="宋体"/>
                <w:color w:val="auto"/>
                <w:kern w:val="0"/>
                <w:szCs w:val="21"/>
                <w:highlight w:val="none"/>
                <w:lang w:eastAsia="zh-CN"/>
              </w:rPr>
              <w:t>。</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项目实施审批文件、采购或招投标、建设、监理、验收等有关文件。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jc w:val="center"/>
        </w:trPr>
        <w:tc>
          <w:tcPr>
            <w:tcW w:w="8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Cs/>
                <w:color w:val="auto"/>
                <w:kern w:val="0"/>
                <w:szCs w:val="21"/>
                <w:highlight w:val="none"/>
              </w:rPr>
            </w:pPr>
          </w:p>
        </w:tc>
        <w:tc>
          <w:tcPr>
            <w:tcW w:w="7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p>
        </w:tc>
        <w:tc>
          <w:tcPr>
            <w:tcW w:w="123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4.项目质量控制</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项目实施是否为达到项目质量要求而采取了必需的措施。</w:t>
            </w:r>
          </w:p>
        </w:tc>
        <w:tc>
          <w:tcPr>
            <w:tcW w:w="337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1.资金使用单位建立或具有相应的质量管控制度，且执行良好的，得2分。</w:t>
            </w:r>
          </w:p>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2.区直业务主管部门按规定对项目进行检查、监控的，得1分（需提供书面文件）。</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2</w:t>
            </w:r>
          </w:p>
        </w:tc>
        <w:tc>
          <w:tcPr>
            <w:tcW w:w="235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lang w:eastAsia="zh-CN"/>
              </w:rPr>
              <w:t>制定了内部控制和流程图，并严格执行主管部门有关制度办法。</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质量控制相关制度、督查文件等。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8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Cs/>
                <w:color w:val="auto"/>
                <w:kern w:val="0"/>
                <w:szCs w:val="21"/>
                <w:highlight w:val="none"/>
              </w:rPr>
            </w:pPr>
          </w:p>
        </w:tc>
        <w:tc>
          <w:tcPr>
            <w:tcW w:w="7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p>
        </w:tc>
        <w:tc>
          <w:tcPr>
            <w:tcW w:w="123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5.项目档案管理</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各项档案资料齐全并及时归档。</w:t>
            </w:r>
          </w:p>
        </w:tc>
        <w:tc>
          <w:tcPr>
            <w:tcW w:w="337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资金使用单位档案管理规范，各项档案资料完整的，得1分。</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0.5</w:t>
            </w:r>
          </w:p>
        </w:tc>
        <w:tc>
          <w:tcPr>
            <w:tcW w:w="235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2021年度</w:t>
            </w:r>
            <w:r>
              <w:rPr>
                <w:rFonts w:hint="eastAsia" w:ascii="宋体" w:hAnsi="宋体" w:cs="宋体"/>
                <w:color w:val="auto"/>
                <w:kern w:val="0"/>
                <w:szCs w:val="21"/>
                <w:highlight w:val="none"/>
              </w:rPr>
              <w:t>各项档案资料齐全并及时归档</w:t>
            </w:r>
            <w:r>
              <w:rPr>
                <w:rFonts w:hint="eastAsia" w:ascii="宋体" w:hAnsi="宋体" w:cs="宋体"/>
                <w:color w:val="auto"/>
                <w:kern w:val="0"/>
                <w:szCs w:val="21"/>
                <w:highlight w:val="none"/>
                <w:lang w:eastAsia="zh-CN"/>
              </w:rPr>
              <w:t>。</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项目相关文件资料等。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8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Cs/>
                <w:color w:val="auto"/>
                <w:kern w:val="0"/>
                <w:szCs w:val="21"/>
                <w:highlight w:val="none"/>
              </w:rPr>
            </w:pPr>
          </w:p>
        </w:tc>
        <w:tc>
          <w:tcPr>
            <w:tcW w:w="76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（三）资金管理（23分）</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6.资金管理制度</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是否建立资金管理制度并执行良好。</w:t>
            </w:r>
          </w:p>
        </w:tc>
        <w:tc>
          <w:tcPr>
            <w:tcW w:w="337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资金管理制度健全，且经费使用合理的，投入有保障的，得2分；有一处不符合规定的，扣1分，扣完为止。</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w:t>
            </w:r>
          </w:p>
        </w:tc>
        <w:tc>
          <w:tcPr>
            <w:tcW w:w="235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eastAsia="zh-CN"/>
              </w:rPr>
              <w:t>严格执行主管部门资金管理制度，合理使用经费。</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资金管理制度、会计凭证等。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jc w:val="center"/>
        </w:trPr>
        <w:tc>
          <w:tcPr>
            <w:tcW w:w="8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Cs/>
                <w:color w:val="auto"/>
                <w:kern w:val="0"/>
                <w:szCs w:val="21"/>
                <w:highlight w:val="none"/>
              </w:rPr>
            </w:pPr>
          </w:p>
        </w:tc>
        <w:tc>
          <w:tcPr>
            <w:tcW w:w="7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p>
        </w:tc>
        <w:tc>
          <w:tcPr>
            <w:tcW w:w="123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7.资金到位率</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实际到位资金与计划投入资金的比率，用以反映和考核资金落实情况对项目实施的总体保障程度。</w:t>
            </w:r>
          </w:p>
        </w:tc>
        <w:tc>
          <w:tcPr>
            <w:tcW w:w="337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1.资金在规定时间内全部到位的，得3分；在规定时间内部分到位的，按分值乘以资金到位率计算得分；在规定时间内未到位的，不得分。</w:t>
            </w:r>
          </w:p>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2.如另有党委、政府等关于资金到位情况的批文，从其批文。</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3</w:t>
            </w:r>
          </w:p>
        </w:tc>
        <w:tc>
          <w:tcPr>
            <w:tcW w:w="235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资金在规定时间内全部到位</w:t>
            </w:r>
            <w:r>
              <w:rPr>
                <w:rFonts w:hint="eastAsia" w:ascii="宋体" w:hAnsi="宋体" w:cs="宋体"/>
                <w:color w:val="auto"/>
                <w:kern w:val="0"/>
                <w:szCs w:val="21"/>
                <w:highlight w:val="none"/>
                <w:lang w:eastAsia="zh-CN"/>
              </w:rPr>
              <w:t>。</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项目资金拨付凭证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8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Cs/>
                <w:color w:val="auto"/>
                <w:kern w:val="0"/>
                <w:szCs w:val="21"/>
                <w:highlight w:val="none"/>
              </w:rPr>
            </w:pPr>
          </w:p>
        </w:tc>
        <w:tc>
          <w:tcPr>
            <w:tcW w:w="7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p>
        </w:tc>
        <w:tc>
          <w:tcPr>
            <w:tcW w:w="123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8.资金支出进度</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预算支出进度=资金使用单位资金实际支出/预算额度*100%。</w:t>
            </w:r>
          </w:p>
        </w:tc>
        <w:tc>
          <w:tcPr>
            <w:tcW w:w="337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截至年底预算支出进度达到90%及以上，得6分；70%（含）-90%的，按照分值乘以实际进度计算得分；60%（含）-70%的，得1分；低于60%的，得0分。</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6</w:t>
            </w:r>
          </w:p>
        </w:tc>
        <w:tc>
          <w:tcPr>
            <w:tcW w:w="235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color w:val="auto"/>
                <w:kern w:val="0"/>
                <w:szCs w:val="21"/>
                <w:highlight w:val="none"/>
                <w:lang w:val="en-US" w:eastAsia="zh-CN"/>
              </w:rPr>
            </w:pPr>
            <w:r>
              <w:rPr>
                <w:rFonts w:hint="eastAsia" w:ascii="宋体" w:hAnsi="宋体" w:cs="宋体"/>
                <w:color w:val="auto"/>
                <w:kern w:val="0"/>
                <w:szCs w:val="21"/>
                <w:highlight w:val="none"/>
                <w:lang w:eastAsia="zh-CN"/>
              </w:rPr>
              <w:t>截至年底预算支出进度达到</w:t>
            </w:r>
            <w:r>
              <w:rPr>
                <w:rFonts w:hint="eastAsia" w:ascii="宋体" w:hAnsi="宋体" w:cs="宋体"/>
                <w:color w:val="auto"/>
                <w:kern w:val="0"/>
                <w:szCs w:val="21"/>
                <w:highlight w:val="none"/>
                <w:lang w:val="en-US" w:eastAsia="zh-CN"/>
              </w:rPr>
              <w:t>90%以上。</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项目资金拨付凭证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0" w:hRule="atLeast"/>
          <w:jc w:val="center"/>
        </w:trPr>
        <w:tc>
          <w:tcPr>
            <w:tcW w:w="8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Cs/>
                <w:color w:val="auto"/>
                <w:kern w:val="0"/>
                <w:szCs w:val="21"/>
                <w:highlight w:val="none"/>
              </w:rPr>
            </w:pPr>
          </w:p>
        </w:tc>
        <w:tc>
          <w:tcPr>
            <w:tcW w:w="7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p>
        </w:tc>
        <w:tc>
          <w:tcPr>
            <w:tcW w:w="123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9.资金支出规范性</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资金分配是否合规。</w:t>
            </w:r>
          </w:p>
        </w:tc>
        <w:tc>
          <w:tcPr>
            <w:tcW w:w="3372" w:type="dxa"/>
            <w:tcBorders>
              <w:top w:val="single" w:color="auto" w:sz="4" w:space="0"/>
              <w:left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1.建立或具有资金管理办法，对资金分配因素进行规范的，得1分；</w:t>
            </w:r>
          </w:p>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2.资金按照规范程序进行分配的，得1分；</w:t>
            </w:r>
          </w:p>
          <w:p>
            <w:pPr>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3.在规定时间报送资金分配方案的，得1分。</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2</w:t>
            </w:r>
          </w:p>
        </w:tc>
        <w:tc>
          <w:tcPr>
            <w:tcW w:w="235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eastAsia="zh-CN"/>
              </w:rPr>
              <w:t>按照规范程序分配资金。未建立资金管理办法，执行主管部门资金管理办法。</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资金管理办法、资金拨付凭证、资金分配方案等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Cs/>
                <w:color w:val="auto"/>
                <w:kern w:val="0"/>
                <w:szCs w:val="21"/>
                <w:highlight w:val="none"/>
              </w:rPr>
            </w:pPr>
          </w:p>
        </w:tc>
        <w:tc>
          <w:tcPr>
            <w:tcW w:w="7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p>
        </w:tc>
        <w:tc>
          <w:tcPr>
            <w:tcW w:w="12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p>
        </w:tc>
        <w:tc>
          <w:tcPr>
            <w:tcW w:w="139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153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资金支出是否合规。</w:t>
            </w:r>
          </w:p>
        </w:tc>
        <w:tc>
          <w:tcPr>
            <w:tcW w:w="337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1.资金支付履行审批程序和手续得2分；发现一处未履行审批程序和手续扣1分，扣完为止；</w:t>
            </w:r>
          </w:p>
        </w:tc>
        <w:tc>
          <w:tcPr>
            <w:tcW w:w="9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5</w:t>
            </w:r>
          </w:p>
        </w:tc>
        <w:tc>
          <w:tcPr>
            <w:tcW w:w="235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color w:val="auto"/>
                <w:kern w:val="0"/>
                <w:szCs w:val="21"/>
                <w:highlight w:val="none"/>
                <w:lang w:val="en-US" w:eastAsia="zh-CN"/>
              </w:rPr>
            </w:pPr>
            <w:r>
              <w:rPr>
                <w:rFonts w:hint="eastAsia" w:ascii="宋体" w:hAnsi="宋体" w:cs="宋体"/>
                <w:color w:val="auto"/>
                <w:kern w:val="0"/>
                <w:szCs w:val="21"/>
                <w:highlight w:val="none"/>
                <w:lang w:eastAsia="zh-CN"/>
              </w:rPr>
              <w:t>项目资金支出严格执行主管部门有关审批程序和手续；资金管理及各项费用标准按照部门预算批复的内容实施，年度项目有调整</w:t>
            </w:r>
            <w:r>
              <w:rPr>
                <w:rFonts w:hint="eastAsia" w:ascii="宋体" w:hAnsi="宋体" w:cs="宋体"/>
                <w:color w:val="auto"/>
                <w:kern w:val="0"/>
                <w:szCs w:val="21"/>
                <w:highlight w:val="none"/>
                <w:lang w:val="en-US" w:eastAsia="zh-CN"/>
              </w:rPr>
              <w:t>。</w:t>
            </w:r>
          </w:p>
        </w:tc>
        <w:tc>
          <w:tcPr>
            <w:tcW w:w="12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资金拨付凭证等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8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Cs/>
                <w:color w:val="auto"/>
                <w:kern w:val="0"/>
                <w:szCs w:val="21"/>
                <w:highlight w:val="none"/>
              </w:rPr>
            </w:pPr>
          </w:p>
        </w:tc>
        <w:tc>
          <w:tcPr>
            <w:tcW w:w="7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p>
        </w:tc>
        <w:tc>
          <w:tcPr>
            <w:tcW w:w="12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p>
        </w:tc>
        <w:tc>
          <w:tcPr>
            <w:tcW w:w="13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p>
        </w:tc>
        <w:tc>
          <w:tcPr>
            <w:tcW w:w="15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p>
        </w:tc>
        <w:tc>
          <w:tcPr>
            <w:tcW w:w="337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2.资金管理、费用标准、支持对象等按部门预算批复的内容实施，得4分。如超范围、超标准，虚列支出、截留、挤占、挪用、虚列支出等情况，每发现1处扣1分，扣完为止。</w:t>
            </w:r>
          </w:p>
        </w:tc>
        <w:tc>
          <w:tcPr>
            <w:tcW w:w="9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p>
        </w:tc>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p>
        </w:tc>
        <w:tc>
          <w:tcPr>
            <w:tcW w:w="235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p>
        </w:tc>
        <w:tc>
          <w:tcPr>
            <w:tcW w:w="12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0" w:hRule="atLeast"/>
          <w:jc w:val="center"/>
        </w:trPr>
        <w:tc>
          <w:tcPr>
            <w:tcW w:w="8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Cs/>
                <w:color w:val="auto"/>
                <w:kern w:val="0"/>
                <w:szCs w:val="21"/>
                <w:highlight w:val="none"/>
              </w:rPr>
            </w:pPr>
          </w:p>
        </w:tc>
        <w:tc>
          <w:tcPr>
            <w:tcW w:w="7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p>
        </w:tc>
        <w:tc>
          <w:tcPr>
            <w:tcW w:w="12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会计核算是否规范。</w:t>
            </w:r>
          </w:p>
        </w:tc>
        <w:tc>
          <w:tcPr>
            <w:tcW w:w="3372" w:type="dxa"/>
            <w:tcBorders>
              <w:top w:val="single" w:color="auto" w:sz="4" w:space="0"/>
              <w:left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1.分项目规范核算得1分；分项目核算但不规范的，每发现一处扣0.5分，扣完为止；支出未分项目核算得0分；</w:t>
            </w:r>
          </w:p>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2.财务制度健全且执行良好的，得1分，没有建立财务制度得0分；</w:t>
            </w:r>
          </w:p>
          <w:p>
            <w:pPr>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3.制定或具有相应的内部控制制度并严格执行得1分，有内控制度但未实际执行扣0.5分，无内控制度得0分。</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1.5</w:t>
            </w:r>
          </w:p>
        </w:tc>
        <w:tc>
          <w:tcPr>
            <w:tcW w:w="235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eastAsia="zh-CN"/>
              </w:rPr>
              <w:t>分项目规范核算；严格执行主管部门财务制度。未建立单位内部财务制度，制定有相应内部控制制度，但主要以执行主管部门制度为主。</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财务制度、会计凭证等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Cs/>
                <w:color w:val="auto"/>
                <w:kern w:val="0"/>
                <w:szCs w:val="21"/>
                <w:highlight w:val="none"/>
              </w:rPr>
            </w:pPr>
          </w:p>
        </w:tc>
        <w:tc>
          <w:tcPr>
            <w:tcW w:w="76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（四）绩效评价管理（2分）</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10.预算绩效自评管理</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是否按照财政部门要求设置年度绩效目标；是否按照财政部门评价工作要求，及时提供相应项目自评材料以及配合评价组提供项目评价材料。</w:t>
            </w:r>
          </w:p>
        </w:tc>
        <w:tc>
          <w:tcPr>
            <w:tcW w:w="337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未按规定设置年度绩效目标或未按规定开展绩效自评的扣1分；未按照财政部门要求及时提供项目自评材料和项目评价相关材料的，扣0.5分，提供不完整的扣0.5分。</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1.5</w:t>
            </w:r>
          </w:p>
        </w:tc>
        <w:tc>
          <w:tcPr>
            <w:tcW w:w="235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color w:val="auto"/>
                <w:kern w:val="0"/>
                <w:szCs w:val="21"/>
                <w:highlight w:val="none"/>
                <w:lang w:val="en-US" w:eastAsia="zh-CN"/>
              </w:rPr>
            </w:pPr>
            <w:r>
              <w:rPr>
                <w:rFonts w:hint="eastAsia" w:ascii="宋体" w:hAnsi="宋体" w:cs="宋体"/>
                <w:color w:val="auto"/>
                <w:kern w:val="0"/>
                <w:szCs w:val="21"/>
                <w:highlight w:val="none"/>
                <w:lang w:eastAsia="zh-CN"/>
              </w:rPr>
              <w:t>已按要求开展项目自评，但自评质量有待提升</w:t>
            </w:r>
            <w:r>
              <w:rPr>
                <w:rFonts w:hint="eastAsia" w:ascii="宋体" w:hAnsi="宋体" w:cs="宋体"/>
                <w:color w:val="auto"/>
                <w:kern w:val="0"/>
                <w:szCs w:val="21"/>
                <w:highlight w:val="none"/>
                <w:lang w:val="en-US" w:eastAsia="zh-CN"/>
              </w:rPr>
              <w:t>。</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项目自评材料等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jc w:val="center"/>
        </w:trPr>
        <w:tc>
          <w:tcPr>
            <w:tcW w:w="84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bCs/>
                <w:color w:val="auto"/>
                <w:kern w:val="0"/>
                <w:szCs w:val="21"/>
                <w:highlight w:val="none"/>
              </w:rPr>
            </w:pPr>
            <w:r>
              <w:rPr>
                <w:rFonts w:hint="eastAsia" w:ascii="宋体" w:hAnsi="宋体" w:cs="宋体"/>
                <w:bCs/>
                <w:color w:val="auto"/>
                <w:kern w:val="0"/>
                <w:szCs w:val="21"/>
                <w:highlight w:val="none"/>
              </w:rPr>
              <w:t>产出</w:t>
            </w:r>
          </w:p>
          <w:p>
            <w:pPr>
              <w:widowControl/>
              <w:spacing w:line="260" w:lineRule="exact"/>
              <w:rPr>
                <w:rFonts w:ascii="宋体" w:hAnsi="宋体" w:cs="宋体"/>
                <w:bCs/>
                <w:color w:val="auto"/>
                <w:kern w:val="0"/>
                <w:szCs w:val="21"/>
                <w:highlight w:val="none"/>
              </w:rPr>
            </w:pPr>
            <w:r>
              <w:rPr>
                <w:rFonts w:hint="eastAsia" w:ascii="宋体" w:hAnsi="宋体" w:cs="宋体"/>
                <w:bCs/>
                <w:color w:val="auto"/>
                <w:kern w:val="0"/>
                <w:szCs w:val="21"/>
                <w:highlight w:val="none"/>
              </w:rPr>
              <w:t>(30分)</w:t>
            </w:r>
          </w:p>
        </w:tc>
        <w:tc>
          <w:tcPr>
            <w:tcW w:w="76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（五）项目产出（30分）</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hint="eastAsia" w:ascii="宋体" w:hAnsi="宋体" w:eastAsia="宋体" w:cs="宋体"/>
                <w:bCs/>
                <w:color w:val="auto"/>
                <w:kern w:val="0"/>
                <w:szCs w:val="21"/>
                <w:highlight w:val="none"/>
                <w:lang w:eastAsia="zh-CN"/>
              </w:rPr>
            </w:pPr>
            <w:r>
              <w:rPr>
                <w:rFonts w:hint="eastAsia" w:ascii="宋体" w:hAnsi="宋体" w:cs="宋体"/>
                <w:bCs/>
                <w:color w:val="auto"/>
                <w:kern w:val="0"/>
                <w:szCs w:val="21"/>
                <w:highlight w:val="none"/>
                <w:lang w:val="en-US" w:eastAsia="zh-CN"/>
              </w:rPr>
              <w:t>11.</w:t>
            </w:r>
            <w:r>
              <w:rPr>
                <w:rFonts w:hint="eastAsia" w:ascii="宋体" w:hAnsi="宋体" w:cs="宋体"/>
                <w:bCs/>
                <w:color w:val="auto"/>
                <w:kern w:val="0"/>
                <w:szCs w:val="21"/>
                <w:highlight w:val="none"/>
              </w:rPr>
              <w:t>全年印刷品数量</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bCs/>
                <w:color w:val="auto"/>
                <w:kern w:val="0"/>
                <w:szCs w:val="21"/>
                <w:highlight w:val="none"/>
              </w:rPr>
            </w:pPr>
            <w:r>
              <w:rPr>
                <w:rFonts w:hint="eastAsia" w:ascii="宋体" w:hAnsi="宋体" w:cs="宋体"/>
                <w:bCs/>
                <w:color w:val="auto"/>
                <w:kern w:val="0"/>
                <w:szCs w:val="21"/>
                <w:highlight w:val="none"/>
              </w:rPr>
              <w:t>全年印刷品数量≥7</w:t>
            </w:r>
          </w:p>
        </w:tc>
        <w:tc>
          <w:tcPr>
            <w:tcW w:w="1533" w:type="dxa"/>
            <w:vMerge w:val="restart"/>
            <w:tcBorders>
              <w:top w:val="single" w:color="auto" w:sz="4" w:space="0"/>
              <w:left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将实际完成任务量与绩效目标设定任务量进行对比，评价目标任务量完成情况。</w:t>
            </w:r>
          </w:p>
        </w:tc>
        <w:tc>
          <w:tcPr>
            <w:tcW w:w="3372" w:type="dxa"/>
            <w:vMerge w:val="restart"/>
            <w:tcBorders>
              <w:top w:val="single" w:color="auto" w:sz="4" w:space="0"/>
              <w:left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产出数量指标：完成目标任务量95%及以上得15分，完成目标任务量在70%（含）-95%的，按照(分值乘以完成目标任务量比例-2)计算得分；完成目标任务量低于70%的，不得分。</w:t>
            </w:r>
          </w:p>
        </w:tc>
        <w:tc>
          <w:tcPr>
            <w:tcW w:w="915" w:type="dxa"/>
            <w:tcBorders>
              <w:top w:val="single" w:color="auto" w:sz="4" w:space="0"/>
              <w:left w:val="single" w:color="auto" w:sz="4" w:space="0"/>
              <w:right w:val="single" w:color="auto" w:sz="4" w:space="0"/>
            </w:tcBorders>
            <w:noWrap w:val="0"/>
            <w:vAlign w:val="center"/>
          </w:tcPr>
          <w:p>
            <w:pPr>
              <w:widowControl/>
              <w:spacing w:line="260" w:lineRule="exact"/>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7.5</w:t>
            </w:r>
          </w:p>
        </w:tc>
        <w:tc>
          <w:tcPr>
            <w:tcW w:w="780" w:type="dxa"/>
            <w:tcBorders>
              <w:top w:val="single" w:color="auto" w:sz="4" w:space="0"/>
              <w:left w:val="single" w:color="auto" w:sz="4" w:space="0"/>
              <w:right w:val="single" w:color="auto" w:sz="4" w:space="0"/>
            </w:tcBorders>
            <w:noWrap w:val="0"/>
            <w:vAlign w:val="center"/>
          </w:tcPr>
          <w:p>
            <w:pPr>
              <w:widowControl/>
              <w:jc w:val="left"/>
              <w:rPr>
                <w:rFonts w:hint="default"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7.5</w:t>
            </w:r>
          </w:p>
        </w:tc>
        <w:tc>
          <w:tcPr>
            <w:tcW w:w="2353" w:type="dxa"/>
            <w:tcBorders>
              <w:top w:val="single" w:color="auto" w:sz="4" w:space="0"/>
              <w:left w:val="single" w:color="auto" w:sz="4" w:space="0"/>
              <w:right w:val="single" w:color="auto" w:sz="4" w:space="0"/>
            </w:tcBorders>
            <w:noWrap w:val="0"/>
            <w:vAlign w:val="center"/>
          </w:tcPr>
          <w:p>
            <w:pPr>
              <w:widowControl/>
              <w:jc w:val="left"/>
              <w:rPr>
                <w:rFonts w:hint="default" w:ascii="宋体" w:hAnsi="宋体" w:cs="宋体"/>
                <w:color w:val="auto"/>
                <w:kern w:val="0"/>
                <w:szCs w:val="21"/>
                <w:highlight w:val="none"/>
                <w:lang w:val="en-US" w:eastAsia="zh-CN"/>
              </w:rPr>
            </w:pPr>
            <w:r>
              <w:rPr>
                <w:rFonts w:hint="eastAsia" w:ascii="宋体" w:hAnsi="宋体" w:cs="宋体"/>
                <w:color w:val="auto"/>
                <w:kern w:val="0"/>
                <w:szCs w:val="21"/>
                <w:highlight w:val="none"/>
                <w:lang w:eastAsia="zh-CN"/>
              </w:rPr>
              <w:t>全年共完成《广西基本单位统计工作手册》《调查单位基本情况统计报表制度》《广西基本单位统计年鉴2021》《广西基本单位统计网格化管理工作手册》《基本单位统计报表制度》《一套表调查单位基本情况2020》《致统计调查对象的一封信》等</w:t>
            </w:r>
            <w:r>
              <w:rPr>
                <w:rFonts w:hint="eastAsia" w:ascii="宋体" w:hAnsi="宋体" w:cs="宋体"/>
                <w:color w:val="auto"/>
                <w:kern w:val="0"/>
                <w:szCs w:val="21"/>
                <w:highlight w:val="none"/>
                <w:lang w:val="en-US" w:eastAsia="zh-CN"/>
              </w:rPr>
              <w:t>7项</w:t>
            </w:r>
            <w:r>
              <w:rPr>
                <w:rFonts w:hint="eastAsia" w:ascii="宋体" w:hAnsi="宋体" w:cs="宋体"/>
                <w:color w:val="auto"/>
                <w:kern w:val="0"/>
                <w:szCs w:val="21"/>
                <w:highlight w:val="none"/>
                <w:lang w:eastAsia="zh-CN"/>
              </w:rPr>
              <w:t>印刷品，已完成目标</w:t>
            </w:r>
            <w:r>
              <w:rPr>
                <w:rFonts w:hint="eastAsia" w:ascii="宋体" w:hAnsi="宋体" w:cs="宋体"/>
                <w:color w:val="auto"/>
                <w:kern w:val="0"/>
                <w:szCs w:val="21"/>
                <w:highlight w:val="none"/>
                <w:lang w:val="en-US" w:eastAsia="zh-CN"/>
              </w:rPr>
              <w:t>。</w:t>
            </w:r>
          </w:p>
        </w:tc>
        <w:tc>
          <w:tcPr>
            <w:tcW w:w="1268" w:type="dxa"/>
            <w:vMerge w:val="restart"/>
            <w:tcBorders>
              <w:top w:val="single" w:color="auto" w:sz="4" w:space="0"/>
              <w:left w:val="single" w:color="auto" w:sz="4" w:space="0"/>
              <w:right w:val="single" w:color="auto" w:sz="4" w:space="0"/>
            </w:tcBorders>
            <w:noWrap w:val="0"/>
            <w:vAlign w:val="center"/>
          </w:tcPr>
          <w:p>
            <w:pPr>
              <w:widowControl/>
              <w:spacing w:line="2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项目产出证明材料；财务产出证明材料。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jc w:val="center"/>
        </w:trPr>
        <w:tc>
          <w:tcPr>
            <w:tcW w:w="848" w:type="dxa"/>
            <w:vMerge w:val="continue"/>
            <w:tcBorders>
              <w:left w:val="single" w:color="auto" w:sz="4" w:space="0"/>
              <w:right w:val="single" w:color="auto" w:sz="4" w:space="0"/>
            </w:tcBorders>
            <w:noWrap w:val="0"/>
            <w:vAlign w:val="center"/>
          </w:tcPr>
          <w:p>
            <w:pPr>
              <w:widowControl/>
              <w:spacing w:line="260" w:lineRule="exact"/>
              <w:rPr>
                <w:rFonts w:hint="eastAsia" w:ascii="宋体" w:hAnsi="宋体" w:cs="宋体"/>
                <w:bCs/>
                <w:color w:val="auto"/>
                <w:kern w:val="0"/>
                <w:szCs w:val="21"/>
                <w:highlight w:val="none"/>
              </w:rPr>
            </w:pPr>
          </w:p>
        </w:tc>
        <w:tc>
          <w:tcPr>
            <w:tcW w:w="766" w:type="dxa"/>
            <w:vMerge w:val="continue"/>
            <w:tcBorders>
              <w:left w:val="single" w:color="auto" w:sz="4" w:space="0"/>
              <w:right w:val="single" w:color="auto" w:sz="4" w:space="0"/>
            </w:tcBorders>
            <w:noWrap w:val="0"/>
            <w:vAlign w:val="center"/>
          </w:tcPr>
          <w:p>
            <w:pPr>
              <w:widowControl/>
              <w:spacing w:line="260" w:lineRule="exact"/>
              <w:rPr>
                <w:rFonts w:hint="eastAsia" w:ascii="宋体" w:hAnsi="宋体" w:cs="宋体"/>
                <w:color w:val="auto"/>
                <w:kern w:val="0"/>
                <w:szCs w:val="21"/>
                <w:highlight w:val="none"/>
              </w:rPr>
            </w:pPr>
          </w:p>
        </w:tc>
        <w:tc>
          <w:tcPr>
            <w:tcW w:w="123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hint="eastAsia" w:ascii="宋体" w:hAnsi="宋体" w:cs="宋体"/>
                <w:bCs/>
                <w:color w:val="auto"/>
                <w:kern w:val="0"/>
                <w:szCs w:val="21"/>
                <w:highlight w:val="none"/>
              </w:rPr>
            </w:pPr>
            <w:r>
              <w:rPr>
                <w:rFonts w:hint="eastAsia" w:ascii="宋体" w:hAnsi="宋体" w:cs="宋体"/>
                <w:bCs/>
                <w:color w:val="auto"/>
                <w:kern w:val="0"/>
                <w:szCs w:val="21"/>
                <w:highlight w:val="none"/>
                <w:lang w:val="en-US" w:eastAsia="zh-CN"/>
              </w:rPr>
              <w:t>12.</w:t>
            </w:r>
            <w:r>
              <w:rPr>
                <w:rFonts w:hint="eastAsia" w:ascii="宋体" w:hAnsi="宋体" w:cs="宋体"/>
                <w:bCs/>
                <w:color w:val="auto"/>
                <w:kern w:val="0"/>
                <w:szCs w:val="21"/>
                <w:highlight w:val="none"/>
                <w:lang w:eastAsia="zh-CN"/>
              </w:rPr>
              <w:t>全年业务培训班班次</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hint="eastAsia" w:ascii="宋体" w:hAnsi="宋体" w:cs="宋体"/>
                <w:bCs/>
                <w:color w:val="auto"/>
                <w:kern w:val="0"/>
                <w:szCs w:val="21"/>
                <w:highlight w:val="none"/>
              </w:rPr>
            </w:pPr>
            <w:r>
              <w:rPr>
                <w:rFonts w:hint="eastAsia" w:ascii="宋体" w:hAnsi="宋体" w:cs="宋体"/>
                <w:bCs/>
                <w:color w:val="auto"/>
                <w:kern w:val="0"/>
                <w:szCs w:val="21"/>
                <w:highlight w:val="none"/>
                <w:lang w:eastAsia="zh-CN"/>
              </w:rPr>
              <w:t>全年业务培训班班次≥2</w:t>
            </w:r>
          </w:p>
        </w:tc>
        <w:tc>
          <w:tcPr>
            <w:tcW w:w="1533" w:type="dxa"/>
            <w:vMerge w:val="continue"/>
            <w:tcBorders>
              <w:left w:val="single" w:color="auto" w:sz="4" w:space="0"/>
              <w:bottom w:val="single" w:color="auto" w:sz="4" w:space="0"/>
              <w:right w:val="single" w:color="auto" w:sz="4" w:space="0"/>
            </w:tcBorders>
            <w:noWrap w:val="0"/>
            <w:vAlign w:val="center"/>
          </w:tcPr>
          <w:p>
            <w:pPr>
              <w:widowControl/>
              <w:spacing w:line="260" w:lineRule="exact"/>
              <w:rPr>
                <w:rFonts w:hint="eastAsia" w:ascii="宋体" w:hAnsi="宋体" w:cs="宋体"/>
                <w:color w:val="auto"/>
                <w:kern w:val="0"/>
                <w:szCs w:val="21"/>
                <w:highlight w:val="none"/>
              </w:rPr>
            </w:pPr>
          </w:p>
        </w:tc>
        <w:tc>
          <w:tcPr>
            <w:tcW w:w="3372" w:type="dxa"/>
            <w:vMerge w:val="continue"/>
            <w:tcBorders>
              <w:left w:val="single" w:color="auto" w:sz="4" w:space="0"/>
              <w:bottom w:val="single" w:color="auto" w:sz="4" w:space="0"/>
              <w:right w:val="single" w:color="auto" w:sz="4" w:space="0"/>
            </w:tcBorders>
            <w:noWrap w:val="0"/>
            <w:vAlign w:val="center"/>
          </w:tcPr>
          <w:p>
            <w:pPr>
              <w:widowControl/>
              <w:spacing w:line="260" w:lineRule="exact"/>
              <w:rPr>
                <w:rFonts w:hint="eastAsia" w:ascii="宋体" w:hAnsi="宋体" w:cs="宋体"/>
                <w:color w:val="auto"/>
                <w:kern w:val="0"/>
                <w:szCs w:val="21"/>
                <w:highlight w:val="none"/>
              </w:rPr>
            </w:pPr>
          </w:p>
        </w:tc>
        <w:tc>
          <w:tcPr>
            <w:tcW w:w="915" w:type="dxa"/>
            <w:tcBorders>
              <w:left w:val="single" w:color="auto" w:sz="4" w:space="0"/>
              <w:bottom w:val="single" w:color="auto" w:sz="4" w:space="0"/>
              <w:right w:val="single" w:color="auto" w:sz="4" w:space="0"/>
            </w:tcBorders>
            <w:noWrap w:val="0"/>
            <w:vAlign w:val="center"/>
          </w:tcPr>
          <w:p>
            <w:pPr>
              <w:widowControl/>
              <w:spacing w:line="260" w:lineRule="exact"/>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7.5</w:t>
            </w:r>
          </w:p>
        </w:tc>
        <w:tc>
          <w:tcPr>
            <w:tcW w:w="780" w:type="dxa"/>
            <w:tcBorders>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7.5</w:t>
            </w:r>
          </w:p>
        </w:tc>
        <w:tc>
          <w:tcPr>
            <w:tcW w:w="2353" w:type="dxa"/>
            <w:tcBorders>
              <w:left w:val="single" w:color="auto" w:sz="4" w:space="0"/>
              <w:bottom w:val="single" w:color="auto" w:sz="4" w:space="0"/>
              <w:right w:val="single" w:color="auto" w:sz="4" w:space="0"/>
            </w:tcBorders>
            <w:noWrap w:val="0"/>
            <w:vAlign w:val="center"/>
          </w:tcPr>
          <w:p>
            <w:pPr>
              <w:widowControl/>
              <w:jc w:val="left"/>
              <w:rPr>
                <w:rFonts w:hint="default" w:ascii="宋体" w:hAnsi="宋体" w:cs="宋体"/>
                <w:color w:val="auto"/>
                <w:kern w:val="0"/>
                <w:szCs w:val="21"/>
                <w:highlight w:val="none"/>
                <w:lang w:val="en-US"/>
              </w:rPr>
            </w:pPr>
            <w:r>
              <w:rPr>
                <w:rFonts w:hint="eastAsia" w:ascii="宋体" w:hAnsi="宋体" w:cs="宋体"/>
                <w:color w:val="auto"/>
                <w:kern w:val="0"/>
                <w:szCs w:val="21"/>
                <w:highlight w:val="none"/>
                <w:lang w:val="en-US" w:eastAsia="zh-CN"/>
              </w:rPr>
              <w:t>共开展基本单位统计业务培训、基层统计网格化暨统计地理信息系统业务培训等2次业务培训班。</w:t>
            </w:r>
          </w:p>
        </w:tc>
        <w:tc>
          <w:tcPr>
            <w:tcW w:w="1268" w:type="dxa"/>
            <w:vMerge w:val="continue"/>
            <w:tcBorders>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8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Cs/>
                <w:color w:val="auto"/>
                <w:kern w:val="0"/>
                <w:szCs w:val="21"/>
                <w:highlight w:val="none"/>
              </w:rPr>
            </w:pPr>
          </w:p>
        </w:tc>
        <w:tc>
          <w:tcPr>
            <w:tcW w:w="7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p>
        </w:tc>
        <w:tc>
          <w:tcPr>
            <w:tcW w:w="123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bCs/>
                <w:color w:val="auto"/>
                <w:kern w:val="0"/>
                <w:szCs w:val="21"/>
                <w:highlight w:val="none"/>
              </w:rPr>
            </w:pPr>
            <w:r>
              <w:rPr>
                <w:rFonts w:hint="eastAsia" w:ascii="宋体" w:hAnsi="宋体" w:cs="宋体"/>
                <w:bCs/>
                <w:color w:val="auto"/>
                <w:kern w:val="0"/>
                <w:szCs w:val="21"/>
                <w:highlight w:val="none"/>
                <w:lang w:val="en-US" w:eastAsia="zh-CN"/>
              </w:rPr>
              <w:t>13.</w:t>
            </w:r>
            <w:r>
              <w:rPr>
                <w:rFonts w:hint="eastAsia" w:ascii="宋体" w:hAnsi="宋体" w:cs="宋体"/>
                <w:bCs/>
                <w:color w:val="auto"/>
                <w:kern w:val="0"/>
                <w:szCs w:val="21"/>
                <w:highlight w:val="none"/>
              </w:rPr>
              <w:t>印刷品质量合格率</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hint="default" w:ascii="宋体" w:hAnsi="宋体" w:eastAsia="宋体" w:cs="宋体"/>
                <w:bCs/>
                <w:color w:val="auto"/>
                <w:kern w:val="0"/>
                <w:szCs w:val="21"/>
                <w:highlight w:val="none"/>
                <w:lang w:val="en-US" w:eastAsia="zh-CN"/>
              </w:rPr>
            </w:pPr>
            <w:r>
              <w:rPr>
                <w:rFonts w:hint="eastAsia" w:ascii="宋体" w:hAnsi="宋体" w:cs="宋体"/>
                <w:bCs/>
                <w:color w:val="auto"/>
                <w:kern w:val="0"/>
                <w:szCs w:val="21"/>
                <w:highlight w:val="none"/>
              </w:rPr>
              <w:t>印刷品质量合格率</w:t>
            </w:r>
            <w:r>
              <w:rPr>
                <w:rFonts w:hint="eastAsia" w:ascii="宋体" w:hAnsi="宋体" w:cs="宋体"/>
                <w:bCs/>
                <w:color w:val="auto"/>
                <w:kern w:val="0"/>
                <w:szCs w:val="21"/>
                <w:highlight w:val="none"/>
                <w:lang w:val="en-US" w:eastAsia="zh-CN"/>
              </w:rPr>
              <w:t>=100%</w:t>
            </w:r>
          </w:p>
        </w:tc>
        <w:tc>
          <w:tcPr>
            <w:tcW w:w="1533" w:type="dxa"/>
            <w:vMerge w:val="restart"/>
            <w:tcBorders>
              <w:top w:val="single" w:color="auto" w:sz="4" w:space="0"/>
              <w:left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符合绩效目标设定的质量标准，达到国家、行业基准水平。</w:t>
            </w:r>
          </w:p>
        </w:tc>
        <w:tc>
          <w:tcPr>
            <w:tcW w:w="3372" w:type="dxa"/>
            <w:vMerge w:val="restart"/>
            <w:tcBorders>
              <w:top w:val="single" w:color="auto" w:sz="4" w:space="0"/>
              <w:left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产出质量指标：达到设定的质量标准得5分，基本达到按1-5分（不含5分）酌情给分，未达到标准得0分。</w:t>
            </w:r>
          </w:p>
        </w:tc>
        <w:tc>
          <w:tcPr>
            <w:tcW w:w="915" w:type="dxa"/>
            <w:tcBorders>
              <w:top w:val="single" w:color="auto" w:sz="4" w:space="0"/>
              <w:left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2</w:t>
            </w:r>
          </w:p>
        </w:tc>
        <w:tc>
          <w:tcPr>
            <w:tcW w:w="780" w:type="dxa"/>
            <w:tcBorders>
              <w:top w:val="single" w:color="auto" w:sz="4" w:space="0"/>
              <w:left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2</w:t>
            </w:r>
          </w:p>
        </w:tc>
        <w:tc>
          <w:tcPr>
            <w:tcW w:w="2353" w:type="dxa"/>
            <w:tcBorders>
              <w:top w:val="single" w:color="auto" w:sz="4" w:space="0"/>
              <w:left w:val="single" w:color="auto" w:sz="4" w:space="0"/>
              <w:right w:val="single" w:color="auto" w:sz="4" w:space="0"/>
            </w:tcBorders>
            <w:noWrap w:val="0"/>
            <w:vAlign w:val="center"/>
          </w:tcPr>
          <w:p>
            <w:pPr>
              <w:widowControl/>
              <w:jc w:val="left"/>
              <w:rPr>
                <w:rFonts w:hint="default"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7项</w:t>
            </w:r>
            <w:r>
              <w:rPr>
                <w:rFonts w:hint="eastAsia" w:ascii="宋体" w:hAnsi="宋体" w:cs="宋体"/>
                <w:color w:val="auto"/>
                <w:kern w:val="0"/>
                <w:szCs w:val="21"/>
                <w:highlight w:val="none"/>
              </w:rPr>
              <w:t>印刷品</w:t>
            </w:r>
            <w:r>
              <w:rPr>
                <w:rFonts w:hint="eastAsia" w:ascii="宋体" w:hAnsi="宋体" w:cs="宋体"/>
                <w:color w:val="auto"/>
                <w:kern w:val="0"/>
                <w:szCs w:val="21"/>
                <w:highlight w:val="none"/>
                <w:lang w:eastAsia="zh-CN"/>
              </w:rPr>
              <w:t>在</w:t>
            </w:r>
            <w:r>
              <w:rPr>
                <w:rFonts w:hint="eastAsia" w:ascii="宋体" w:hAnsi="宋体" w:cs="宋体"/>
                <w:color w:val="auto"/>
                <w:kern w:val="0"/>
                <w:szCs w:val="21"/>
                <w:highlight w:val="none"/>
                <w:lang w:val="en-US" w:eastAsia="zh-CN"/>
              </w:rPr>
              <w:t>2021年12月13日交货验收，符合验收标准，</w:t>
            </w:r>
            <w:r>
              <w:rPr>
                <w:rFonts w:hint="eastAsia" w:ascii="宋体" w:hAnsi="宋体" w:cs="宋体"/>
                <w:color w:val="auto"/>
                <w:kern w:val="0"/>
                <w:szCs w:val="21"/>
                <w:highlight w:val="none"/>
                <w:lang w:eastAsia="zh-CN"/>
              </w:rPr>
              <w:t>均通过验收</w:t>
            </w:r>
            <w:r>
              <w:rPr>
                <w:rFonts w:hint="eastAsia" w:ascii="宋体" w:hAnsi="宋体" w:cs="宋体"/>
                <w:color w:val="auto"/>
                <w:kern w:val="0"/>
                <w:szCs w:val="21"/>
                <w:highlight w:val="none"/>
                <w:lang w:val="en-US" w:eastAsia="zh-CN"/>
              </w:rPr>
              <w:t>。</w:t>
            </w:r>
          </w:p>
        </w:tc>
        <w:tc>
          <w:tcPr>
            <w:tcW w:w="1268" w:type="dxa"/>
            <w:vMerge w:val="restart"/>
            <w:tcBorders>
              <w:top w:val="single" w:color="auto" w:sz="4" w:space="0"/>
              <w:left w:val="single" w:color="auto" w:sz="4" w:space="0"/>
              <w:right w:val="single" w:color="auto" w:sz="4" w:space="0"/>
            </w:tcBorders>
            <w:noWrap w:val="0"/>
            <w:vAlign w:val="center"/>
          </w:tcPr>
          <w:p>
            <w:pPr>
              <w:widowControl/>
              <w:spacing w:line="2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项目产出证明材料；财务产出证明材料。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8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Cs/>
                <w:color w:val="auto"/>
                <w:kern w:val="0"/>
                <w:szCs w:val="21"/>
                <w:highlight w:val="none"/>
              </w:rPr>
            </w:pPr>
          </w:p>
        </w:tc>
        <w:tc>
          <w:tcPr>
            <w:tcW w:w="7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p>
        </w:tc>
        <w:tc>
          <w:tcPr>
            <w:tcW w:w="123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bCs/>
                <w:color w:val="auto"/>
                <w:kern w:val="0"/>
                <w:szCs w:val="21"/>
                <w:highlight w:val="none"/>
              </w:rPr>
            </w:pPr>
            <w:r>
              <w:rPr>
                <w:rFonts w:hint="eastAsia" w:ascii="宋体" w:hAnsi="宋体" w:cs="宋体"/>
                <w:bCs/>
                <w:color w:val="auto"/>
                <w:kern w:val="0"/>
                <w:szCs w:val="21"/>
                <w:highlight w:val="none"/>
                <w:lang w:val="en-US" w:eastAsia="zh-CN"/>
              </w:rPr>
              <w:t>14.</w:t>
            </w:r>
            <w:r>
              <w:rPr>
                <w:rFonts w:hint="eastAsia" w:ascii="宋体" w:hAnsi="宋体" w:cs="宋体"/>
                <w:bCs/>
                <w:color w:val="auto"/>
                <w:kern w:val="0"/>
                <w:szCs w:val="21"/>
                <w:highlight w:val="none"/>
              </w:rPr>
              <w:t>信息化系统验收合格率</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hint="default" w:ascii="宋体" w:hAnsi="宋体" w:eastAsia="宋体" w:cs="宋体"/>
                <w:bCs/>
                <w:color w:val="auto"/>
                <w:kern w:val="0"/>
                <w:szCs w:val="21"/>
                <w:highlight w:val="none"/>
                <w:lang w:val="en-US" w:eastAsia="zh-CN"/>
              </w:rPr>
            </w:pPr>
            <w:r>
              <w:rPr>
                <w:rFonts w:hint="eastAsia" w:ascii="宋体" w:hAnsi="宋体" w:cs="宋体"/>
                <w:bCs/>
                <w:color w:val="auto"/>
                <w:kern w:val="0"/>
                <w:szCs w:val="21"/>
                <w:highlight w:val="none"/>
              </w:rPr>
              <w:t>信息化系统验收合格率</w:t>
            </w:r>
            <w:r>
              <w:rPr>
                <w:rFonts w:hint="eastAsia" w:ascii="宋体" w:hAnsi="宋体" w:cs="宋体"/>
                <w:bCs/>
                <w:color w:val="auto"/>
                <w:kern w:val="0"/>
                <w:szCs w:val="21"/>
                <w:highlight w:val="none"/>
                <w:lang w:val="en-US" w:eastAsia="zh-CN"/>
              </w:rPr>
              <w:t>=100%</w:t>
            </w:r>
          </w:p>
        </w:tc>
        <w:tc>
          <w:tcPr>
            <w:tcW w:w="1533" w:type="dxa"/>
            <w:vMerge w:val="continue"/>
            <w:tcBorders>
              <w:left w:val="single" w:color="auto" w:sz="4" w:space="0"/>
              <w:bottom w:val="single" w:color="auto" w:sz="4" w:space="0"/>
              <w:right w:val="single" w:color="auto" w:sz="4" w:space="0"/>
            </w:tcBorders>
            <w:noWrap w:val="0"/>
            <w:vAlign w:val="center"/>
          </w:tcPr>
          <w:p>
            <w:pPr>
              <w:widowControl/>
              <w:spacing w:line="260" w:lineRule="exact"/>
              <w:rPr>
                <w:rFonts w:hint="eastAsia" w:ascii="宋体" w:hAnsi="宋体" w:cs="宋体"/>
                <w:color w:val="auto"/>
                <w:kern w:val="0"/>
                <w:szCs w:val="21"/>
                <w:highlight w:val="none"/>
              </w:rPr>
            </w:pPr>
          </w:p>
        </w:tc>
        <w:tc>
          <w:tcPr>
            <w:tcW w:w="3372" w:type="dxa"/>
            <w:vMerge w:val="continue"/>
            <w:tcBorders>
              <w:left w:val="single" w:color="auto" w:sz="4" w:space="0"/>
              <w:bottom w:val="single" w:color="auto" w:sz="4" w:space="0"/>
              <w:right w:val="single" w:color="auto" w:sz="4" w:space="0"/>
            </w:tcBorders>
            <w:noWrap w:val="0"/>
            <w:vAlign w:val="center"/>
          </w:tcPr>
          <w:p>
            <w:pPr>
              <w:widowControl/>
              <w:spacing w:line="260" w:lineRule="exact"/>
              <w:rPr>
                <w:rFonts w:hint="eastAsia" w:ascii="宋体" w:hAnsi="宋体" w:cs="宋体"/>
                <w:color w:val="auto"/>
                <w:kern w:val="0"/>
                <w:szCs w:val="21"/>
                <w:highlight w:val="none"/>
              </w:rPr>
            </w:pPr>
          </w:p>
        </w:tc>
        <w:tc>
          <w:tcPr>
            <w:tcW w:w="915" w:type="dxa"/>
            <w:tcBorders>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3</w:t>
            </w:r>
          </w:p>
        </w:tc>
        <w:tc>
          <w:tcPr>
            <w:tcW w:w="780" w:type="dxa"/>
            <w:tcBorders>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2</w:t>
            </w:r>
          </w:p>
        </w:tc>
        <w:tc>
          <w:tcPr>
            <w:tcW w:w="2353" w:type="dxa"/>
            <w:tcBorders>
              <w:left w:val="single" w:color="auto" w:sz="4" w:space="0"/>
              <w:bottom w:val="single" w:color="auto" w:sz="4" w:space="0"/>
              <w:right w:val="single" w:color="auto" w:sz="4" w:space="0"/>
            </w:tcBorders>
            <w:noWrap w:val="0"/>
            <w:vAlign w:val="center"/>
          </w:tcPr>
          <w:p>
            <w:pPr>
              <w:widowControl/>
              <w:jc w:val="left"/>
              <w:rPr>
                <w:rFonts w:hint="default" w:ascii="宋体" w:hAnsi="宋体" w:cs="宋体"/>
                <w:color w:val="auto"/>
                <w:kern w:val="0"/>
                <w:szCs w:val="21"/>
                <w:highlight w:val="none"/>
                <w:lang w:val="en-US"/>
              </w:rPr>
            </w:pPr>
            <w:r>
              <w:rPr>
                <w:rFonts w:hint="eastAsia" w:ascii="宋体" w:hAnsi="宋体" w:cs="宋体"/>
                <w:color w:val="auto"/>
                <w:kern w:val="0"/>
                <w:szCs w:val="21"/>
                <w:highlight w:val="none"/>
                <w:lang w:val="en-US" w:eastAsia="zh-CN"/>
              </w:rPr>
              <w:t>4个</w:t>
            </w:r>
            <w:r>
              <w:rPr>
                <w:rFonts w:hint="eastAsia" w:ascii="宋体" w:hAnsi="宋体" w:cs="宋体"/>
                <w:color w:val="auto"/>
                <w:kern w:val="0"/>
                <w:szCs w:val="21"/>
                <w:highlight w:val="none"/>
              </w:rPr>
              <w:t>信息化系统</w:t>
            </w:r>
            <w:r>
              <w:rPr>
                <w:rFonts w:hint="eastAsia" w:ascii="宋体" w:hAnsi="宋体" w:cs="宋体"/>
                <w:color w:val="auto"/>
                <w:kern w:val="0"/>
                <w:szCs w:val="21"/>
                <w:highlight w:val="none"/>
                <w:lang w:eastAsia="zh-CN"/>
              </w:rPr>
              <w:t>分别于</w:t>
            </w:r>
            <w:r>
              <w:rPr>
                <w:rFonts w:hint="eastAsia" w:ascii="宋体" w:hAnsi="宋体" w:cs="宋体"/>
                <w:color w:val="auto"/>
                <w:kern w:val="0"/>
                <w:szCs w:val="21"/>
                <w:highlight w:val="none"/>
                <w:lang w:val="en-US" w:eastAsia="zh-CN"/>
              </w:rPr>
              <w:t>2021年9月23日、2022年1月10日、2021年12月、2021年10月15日</w:t>
            </w:r>
            <w:r>
              <w:rPr>
                <w:rFonts w:hint="eastAsia" w:ascii="宋体" w:hAnsi="宋体" w:cs="宋体"/>
                <w:color w:val="auto"/>
                <w:kern w:val="0"/>
                <w:szCs w:val="21"/>
                <w:highlight w:val="none"/>
                <w:lang w:eastAsia="zh-CN"/>
              </w:rPr>
              <w:t>验收，均基本达到质量标准。</w:t>
            </w:r>
          </w:p>
        </w:tc>
        <w:tc>
          <w:tcPr>
            <w:tcW w:w="1268" w:type="dxa"/>
            <w:vMerge w:val="continue"/>
            <w:tcBorders>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8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Cs/>
                <w:color w:val="auto"/>
                <w:kern w:val="0"/>
                <w:szCs w:val="21"/>
                <w:highlight w:val="none"/>
              </w:rPr>
            </w:pPr>
          </w:p>
        </w:tc>
        <w:tc>
          <w:tcPr>
            <w:tcW w:w="7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p>
        </w:tc>
        <w:tc>
          <w:tcPr>
            <w:tcW w:w="123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bCs/>
                <w:color w:val="auto"/>
                <w:kern w:val="0"/>
                <w:szCs w:val="21"/>
                <w:highlight w:val="none"/>
              </w:rPr>
            </w:pPr>
            <w:r>
              <w:rPr>
                <w:rFonts w:hint="eastAsia" w:ascii="宋体" w:hAnsi="宋体" w:cs="宋体"/>
                <w:bCs/>
                <w:color w:val="auto"/>
                <w:kern w:val="0"/>
                <w:szCs w:val="21"/>
                <w:highlight w:val="none"/>
                <w:lang w:val="en-US" w:eastAsia="zh-CN"/>
              </w:rPr>
              <w:t>15.</w:t>
            </w:r>
            <w:r>
              <w:rPr>
                <w:rFonts w:hint="eastAsia" w:ascii="宋体" w:hAnsi="宋体" w:cs="宋体"/>
                <w:bCs/>
                <w:color w:val="auto"/>
                <w:kern w:val="0"/>
                <w:szCs w:val="21"/>
                <w:highlight w:val="none"/>
              </w:rPr>
              <w:t>编印完成基本单位统计年鉴和一套表调查单位基本情况等统计资料的时间</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hint="default" w:ascii="宋体" w:hAnsi="宋体" w:eastAsia="宋体" w:cs="宋体"/>
                <w:bCs/>
                <w:color w:val="auto"/>
                <w:kern w:val="0"/>
                <w:szCs w:val="21"/>
                <w:highlight w:val="none"/>
                <w:lang w:val="en-US" w:eastAsia="zh-CN"/>
              </w:rPr>
            </w:pPr>
            <w:r>
              <w:rPr>
                <w:rFonts w:hint="eastAsia" w:ascii="宋体" w:hAnsi="宋体" w:cs="宋体"/>
                <w:bCs/>
                <w:color w:val="auto"/>
                <w:kern w:val="0"/>
                <w:szCs w:val="21"/>
                <w:highlight w:val="none"/>
              </w:rPr>
              <w:t>编印完成基本单位统计年鉴和一套表调查单位基本情况等统计资料的时间</w:t>
            </w:r>
            <w:r>
              <w:rPr>
                <w:rFonts w:hint="eastAsia" w:ascii="宋体" w:hAnsi="宋体" w:cs="宋体"/>
                <w:bCs/>
                <w:color w:val="auto"/>
                <w:kern w:val="0"/>
                <w:szCs w:val="21"/>
                <w:highlight w:val="none"/>
                <w:lang w:eastAsia="zh-CN"/>
              </w:rPr>
              <w:t>为</w:t>
            </w:r>
            <w:r>
              <w:rPr>
                <w:rFonts w:hint="eastAsia" w:ascii="宋体" w:hAnsi="宋体" w:cs="宋体"/>
                <w:bCs/>
                <w:color w:val="auto"/>
                <w:kern w:val="0"/>
                <w:szCs w:val="21"/>
                <w:highlight w:val="none"/>
                <w:lang w:val="en-US" w:eastAsia="zh-CN"/>
              </w:rPr>
              <w:t>11月底前</w:t>
            </w:r>
          </w:p>
        </w:tc>
        <w:tc>
          <w:tcPr>
            <w:tcW w:w="1533" w:type="dxa"/>
            <w:vMerge w:val="restart"/>
            <w:tcBorders>
              <w:top w:val="single" w:color="auto" w:sz="4" w:space="0"/>
              <w:left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将批复的实施方案工作进度和实际工作进度对比，考核项目是否按计划的时间周期实施并完工。</w:t>
            </w:r>
          </w:p>
        </w:tc>
        <w:tc>
          <w:tcPr>
            <w:tcW w:w="3372" w:type="dxa"/>
            <w:vMerge w:val="restart"/>
            <w:tcBorders>
              <w:top w:val="single" w:color="auto" w:sz="4" w:space="0"/>
              <w:left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产出时效指标：按计划的时间周期实施并完工得5分，否则按0-5分（不含5分）酌情给分。</w:t>
            </w:r>
          </w:p>
        </w:tc>
        <w:tc>
          <w:tcPr>
            <w:tcW w:w="915" w:type="dxa"/>
            <w:tcBorders>
              <w:top w:val="single" w:color="auto" w:sz="4" w:space="0"/>
              <w:left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3</w:t>
            </w:r>
          </w:p>
        </w:tc>
        <w:tc>
          <w:tcPr>
            <w:tcW w:w="780" w:type="dxa"/>
            <w:tcBorders>
              <w:top w:val="single" w:color="auto" w:sz="4" w:space="0"/>
              <w:left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2</w:t>
            </w:r>
          </w:p>
        </w:tc>
        <w:tc>
          <w:tcPr>
            <w:tcW w:w="235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7项</w:t>
            </w:r>
            <w:r>
              <w:rPr>
                <w:rFonts w:hint="eastAsia" w:ascii="宋体" w:hAnsi="宋体" w:cs="宋体"/>
                <w:color w:val="auto"/>
                <w:kern w:val="0"/>
                <w:szCs w:val="21"/>
                <w:highlight w:val="none"/>
              </w:rPr>
              <w:t>印刷品</w:t>
            </w:r>
            <w:r>
              <w:rPr>
                <w:rFonts w:hint="eastAsia" w:ascii="宋体" w:hAnsi="宋体" w:cs="宋体"/>
                <w:color w:val="auto"/>
                <w:kern w:val="0"/>
                <w:szCs w:val="21"/>
                <w:highlight w:val="none"/>
                <w:lang w:eastAsia="zh-CN"/>
              </w:rPr>
              <w:t>在</w:t>
            </w:r>
            <w:r>
              <w:rPr>
                <w:rFonts w:hint="eastAsia" w:ascii="宋体" w:hAnsi="宋体" w:cs="宋体"/>
                <w:color w:val="auto"/>
                <w:kern w:val="0"/>
                <w:szCs w:val="21"/>
                <w:highlight w:val="none"/>
                <w:lang w:val="en-US" w:eastAsia="zh-CN"/>
              </w:rPr>
              <w:t>2021年12月13日交货验收，未能按目标在2021年11月底前完成</w:t>
            </w:r>
            <w:r>
              <w:rPr>
                <w:rFonts w:hint="eastAsia" w:ascii="宋体" w:hAnsi="宋体" w:cs="宋体"/>
                <w:color w:val="auto"/>
                <w:kern w:val="0"/>
                <w:szCs w:val="21"/>
                <w:highlight w:val="none"/>
                <w:lang w:eastAsia="zh-CN"/>
              </w:rPr>
              <w:t>。</w:t>
            </w:r>
          </w:p>
        </w:tc>
        <w:tc>
          <w:tcPr>
            <w:tcW w:w="1268" w:type="dxa"/>
            <w:vMerge w:val="restart"/>
            <w:tcBorders>
              <w:top w:val="single" w:color="auto" w:sz="4" w:space="0"/>
              <w:left w:val="single" w:color="auto" w:sz="4" w:space="0"/>
              <w:right w:val="single" w:color="auto" w:sz="4" w:space="0"/>
            </w:tcBorders>
            <w:noWrap w:val="0"/>
            <w:vAlign w:val="center"/>
          </w:tcPr>
          <w:p>
            <w:pPr>
              <w:widowControl/>
              <w:spacing w:line="2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项目产出证明材料；财务产出证明材料。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8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Cs/>
                <w:color w:val="auto"/>
                <w:kern w:val="0"/>
                <w:szCs w:val="21"/>
                <w:highlight w:val="none"/>
              </w:rPr>
            </w:pPr>
          </w:p>
        </w:tc>
        <w:tc>
          <w:tcPr>
            <w:tcW w:w="7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p>
        </w:tc>
        <w:tc>
          <w:tcPr>
            <w:tcW w:w="123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hint="eastAsia" w:ascii="宋体" w:hAnsi="宋体" w:cs="宋体"/>
                <w:bCs/>
                <w:color w:val="auto"/>
                <w:kern w:val="0"/>
                <w:szCs w:val="21"/>
                <w:highlight w:val="none"/>
              </w:rPr>
            </w:pPr>
            <w:r>
              <w:rPr>
                <w:rFonts w:hint="eastAsia" w:ascii="宋体" w:hAnsi="宋体" w:cs="宋体"/>
                <w:bCs/>
                <w:color w:val="auto"/>
                <w:kern w:val="0"/>
                <w:szCs w:val="21"/>
                <w:highlight w:val="none"/>
                <w:lang w:val="en-US" w:eastAsia="zh-CN"/>
              </w:rPr>
              <w:t>16.</w:t>
            </w:r>
            <w:r>
              <w:rPr>
                <w:rFonts w:hint="eastAsia" w:ascii="宋体" w:hAnsi="宋体" w:cs="宋体"/>
                <w:bCs/>
                <w:color w:val="auto"/>
                <w:kern w:val="0"/>
                <w:szCs w:val="21"/>
                <w:highlight w:val="none"/>
              </w:rPr>
              <w:t>完成信息化系统建设并投入使用的时间</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hint="default" w:ascii="宋体" w:hAnsi="宋体" w:eastAsia="宋体" w:cs="宋体"/>
                <w:bCs/>
                <w:color w:val="auto"/>
                <w:kern w:val="0"/>
                <w:szCs w:val="21"/>
                <w:highlight w:val="none"/>
                <w:lang w:val="en-US" w:eastAsia="zh-CN"/>
              </w:rPr>
            </w:pPr>
            <w:r>
              <w:rPr>
                <w:rFonts w:hint="eastAsia" w:ascii="宋体" w:hAnsi="宋体" w:cs="宋体"/>
                <w:bCs/>
                <w:color w:val="auto"/>
                <w:kern w:val="0"/>
                <w:szCs w:val="21"/>
                <w:highlight w:val="none"/>
              </w:rPr>
              <w:t>完成信息化系统建设并投入使用的时间</w:t>
            </w:r>
            <w:r>
              <w:rPr>
                <w:rFonts w:hint="eastAsia" w:ascii="宋体" w:hAnsi="宋体" w:cs="宋体"/>
                <w:bCs/>
                <w:color w:val="auto"/>
                <w:kern w:val="0"/>
                <w:szCs w:val="21"/>
                <w:highlight w:val="none"/>
                <w:lang w:eastAsia="zh-CN"/>
              </w:rPr>
              <w:t>为</w:t>
            </w:r>
            <w:r>
              <w:rPr>
                <w:rFonts w:hint="eastAsia" w:ascii="宋体" w:hAnsi="宋体" w:cs="宋体"/>
                <w:bCs/>
                <w:color w:val="auto"/>
                <w:kern w:val="0"/>
                <w:szCs w:val="21"/>
                <w:highlight w:val="none"/>
                <w:lang w:val="en-US" w:eastAsia="zh-CN"/>
              </w:rPr>
              <w:t>12月底前</w:t>
            </w:r>
          </w:p>
        </w:tc>
        <w:tc>
          <w:tcPr>
            <w:tcW w:w="1533" w:type="dxa"/>
            <w:vMerge w:val="continue"/>
            <w:tcBorders>
              <w:left w:val="single" w:color="auto" w:sz="4" w:space="0"/>
              <w:bottom w:val="single" w:color="auto" w:sz="4" w:space="0"/>
              <w:right w:val="single" w:color="auto" w:sz="4" w:space="0"/>
            </w:tcBorders>
            <w:noWrap w:val="0"/>
            <w:vAlign w:val="center"/>
          </w:tcPr>
          <w:p>
            <w:pPr>
              <w:widowControl/>
              <w:spacing w:line="260" w:lineRule="exact"/>
              <w:rPr>
                <w:rFonts w:hint="eastAsia" w:ascii="宋体" w:hAnsi="宋体" w:cs="宋体"/>
                <w:color w:val="auto"/>
                <w:kern w:val="0"/>
                <w:szCs w:val="21"/>
                <w:highlight w:val="none"/>
              </w:rPr>
            </w:pPr>
          </w:p>
        </w:tc>
        <w:tc>
          <w:tcPr>
            <w:tcW w:w="3372" w:type="dxa"/>
            <w:vMerge w:val="continue"/>
            <w:tcBorders>
              <w:left w:val="single" w:color="auto" w:sz="4" w:space="0"/>
              <w:bottom w:val="single" w:color="auto" w:sz="4" w:space="0"/>
              <w:right w:val="single" w:color="auto" w:sz="4" w:space="0"/>
            </w:tcBorders>
            <w:noWrap w:val="0"/>
            <w:vAlign w:val="center"/>
          </w:tcPr>
          <w:p>
            <w:pPr>
              <w:widowControl/>
              <w:spacing w:line="260" w:lineRule="exact"/>
              <w:rPr>
                <w:rFonts w:hint="eastAsia" w:ascii="宋体" w:hAnsi="宋体" w:cs="宋体"/>
                <w:color w:val="auto"/>
                <w:kern w:val="0"/>
                <w:szCs w:val="21"/>
                <w:highlight w:val="none"/>
              </w:rPr>
            </w:pPr>
          </w:p>
        </w:tc>
        <w:tc>
          <w:tcPr>
            <w:tcW w:w="915" w:type="dxa"/>
            <w:tcBorders>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2</w:t>
            </w:r>
          </w:p>
        </w:tc>
        <w:tc>
          <w:tcPr>
            <w:tcW w:w="780" w:type="dxa"/>
            <w:tcBorders>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w:t>
            </w:r>
          </w:p>
        </w:tc>
        <w:tc>
          <w:tcPr>
            <w:tcW w:w="235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4个</w:t>
            </w:r>
            <w:r>
              <w:rPr>
                <w:rFonts w:hint="eastAsia" w:ascii="宋体" w:hAnsi="宋体" w:cs="宋体"/>
                <w:color w:val="auto"/>
                <w:kern w:val="0"/>
                <w:szCs w:val="21"/>
                <w:highlight w:val="none"/>
              </w:rPr>
              <w:t>信息化系统</w:t>
            </w:r>
            <w:r>
              <w:rPr>
                <w:rFonts w:hint="eastAsia" w:ascii="宋体" w:hAnsi="宋体" w:cs="宋体"/>
                <w:color w:val="auto"/>
                <w:kern w:val="0"/>
                <w:szCs w:val="21"/>
                <w:highlight w:val="none"/>
                <w:lang w:eastAsia="zh-CN"/>
              </w:rPr>
              <w:t>分别于</w:t>
            </w:r>
            <w:r>
              <w:rPr>
                <w:rFonts w:hint="eastAsia" w:ascii="宋体" w:hAnsi="宋体" w:cs="宋体"/>
                <w:color w:val="auto"/>
                <w:kern w:val="0"/>
                <w:szCs w:val="21"/>
                <w:highlight w:val="none"/>
                <w:lang w:val="en-US" w:eastAsia="zh-CN"/>
              </w:rPr>
              <w:t>2021年9月23日、2022年1月10日（实际供货日期</w:t>
            </w:r>
            <w:bookmarkStart w:id="0" w:name="_GoBack"/>
            <w:bookmarkEnd w:id="0"/>
            <w:r>
              <w:rPr>
                <w:rFonts w:hint="eastAsia" w:ascii="宋体" w:hAnsi="宋体" w:cs="宋体"/>
                <w:color w:val="auto"/>
                <w:kern w:val="0"/>
                <w:szCs w:val="21"/>
                <w:highlight w:val="none"/>
                <w:lang w:val="en-US" w:eastAsia="zh-CN"/>
              </w:rPr>
              <w:t>为2021年3月22日-2021年12月31日）、2021年12月、2021年10月15日</w:t>
            </w:r>
            <w:r>
              <w:rPr>
                <w:rFonts w:hint="eastAsia" w:ascii="宋体" w:hAnsi="宋体" w:cs="宋体"/>
                <w:color w:val="auto"/>
                <w:kern w:val="0"/>
                <w:szCs w:val="21"/>
                <w:highlight w:val="none"/>
                <w:lang w:eastAsia="zh-CN"/>
              </w:rPr>
              <w:t>验收</w:t>
            </w:r>
            <w:r>
              <w:rPr>
                <w:rFonts w:hint="eastAsia" w:ascii="宋体" w:hAnsi="宋体" w:cs="宋体"/>
                <w:color w:val="auto"/>
                <w:kern w:val="0"/>
                <w:szCs w:val="21"/>
                <w:highlight w:val="none"/>
                <w:lang w:val="en-US" w:eastAsia="zh-CN"/>
              </w:rPr>
              <w:t>。</w:t>
            </w:r>
          </w:p>
        </w:tc>
        <w:tc>
          <w:tcPr>
            <w:tcW w:w="1268" w:type="dxa"/>
            <w:vMerge w:val="continue"/>
            <w:tcBorders>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8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Cs/>
                <w:color w:val="auto"/>
                <w:kern w:val="0"/>
                <w:szCs w:val="21"/>
                <w:highlight w:val="none"/>
              </w:rPr>
            </w:pPr>
          </w:p>
        </w:tc>
        <w:tc>
          <w:tcPr>
            <w:tcW w:w="7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p>
        </w:tc>
        <w:tc>
          <w:tcPr>
            <w:tcW w:w="123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bCs/>
                <w:color w:val="auto"/>
                <w:kern w:val="0"/>
                <w:szCs w:val="21"/>
                <w:highlight w:val="none"/>
              </w:rPr>
            </w:pPr>
            <w:r>
              <w:rPr>
                <w:rFonts w:hint="eastAsia" w:ascii="宋体" w:hAnsi="宋体" w:cs="宋体"/>
                <w:bCs/>
                <w:color w:val="auto"/>
                <w:kern w:val="0"/>
                <w:szCs w:val="21"/>
                <w:highlight w:val="none"/>
                <w:lang w:val="en-US" w:eastAsia="zh-CN"/>
              </w:rPr>
              <w:t>17.</w:t>
            </w:r>
            <w:r>
              <w:rPr>
                <w:rFonts w:hint="eastAsia" w:ascii="宋体" w:hAnsi="宋体" w:cs="宋体"/>
                <w:bCs/>
                <w:color w:val="auto"/>
                <w:kern w:val="0"/>
                <w:szCs w:val="21"/>
                <w:highlight w:val="none"/>
              </w:rPr>
              <w:t>基本单位名录库建设更新维护成本</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hint="default" w:ascii="宋体" w:hAnsi="宋体" w:eastAsia="宋体" w:cs="宋体"/>
                <w:bCs/>
                <w:color w:val="auto"/>
                <w:kern w:val="0"/>
                <w:szCs w:val="21"/>
                <w:highlight w:val="none"/>
                <w:lang w:val="en-US" w:eastAsia="zh-CN"/>
              </w:rPr>
            </w:pPr>
            <w:r>
              <w:rPr>
                <w:rFonts w:hint="eastAsia" w:ascii="宋体" w:hAnsi="宋体" w:cs="宋体"/>
                <w:bCs/>
                <w:color w:val="auto"/>
                <w:kern w:val="0"/>
                <w:szCs w:val="21"/>
                <w:highlight w:val="none"/>
              </w:rPr>
              <w:t>基本单位名录库建设更新维护成本</w:t>
            </w:r>
            <w:r>
              <w:rPr>
                <w:rFonts w:hint="eastAsia" w:ascii="宋体" w:hAnsi="宋体" w:eastAsia="宋体" w:cs="宋体"/>
                <w:bCs/>
                <w:color w:val="auto"/>
                <w:kern w:val="0"/>
                <w:szCs w:val="21"/>
                <w:highlight w:val="none"/>
              </w:rPr>
              <w:t>≦</w:t>
            </w:r>
            <w:r>
              <w:rPr>
                <w:rFonts w:hint="eastAsia" w:ascii="宋体" w:hAnsi="宋体" w:cs="宋体"/>
                <w:bCs/>
                <w:color w:val="auto"/>
                <w:kern w:val="0"/>
                <w:szCs w:val="21"/>
                <w:highlight w:val="none"/>
                <w:lang w:val="en-US" w:eastAsia="zh-CN"/>
              </w:rPr>
              <w:t>240.8万元</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反映项目总体投入与计划投入情况。</w:t>
            </w:r>
          </w:p>
        </w:tc>
        <w:tc>
          <w:tcPr>
            <w:tcW w:w="337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产出成本指标：成本控制较好得5分，超出实际成本按0-5分（不含5分）酌情给分。</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4</w:t>
            </w:r>
          </w:p>
        </w:tc>
        <w:tc>
          <w:tcPr>
            <w:tcW w:w="235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eastAsia="zh-CN"/>
              </w:rPr>
              <w:t>项目实际支出</w:t>
            </w:r>
            <w:r>
              <w:rPr>
                <w:rFonts w:hint="eastAsia" w:ascii="宋体" w:hAnsi="宋体" w:cs="宋体"/>
                <w:color w:val="auto"/>
                <w:kern w:val="0"/>
                <w:szCs w:val="21"/>
                <w:highlight w:val="none"/>
                <w:lang w:val="en-US" w:eastAsia="zh-CN"/>
              </w:rPr>
              <w:t>236.73万元，成本</w:t>
            </w:r>
            <w:r>
              <w:rPr>
                <w:rFonts w:hint="eastAsia" w:ascii="宋体" w:hAnsi="宋体" w:cs="宋体"/>
                <w:color w:val="auto"/>
                <w:kern w:val="0"/>
                <w:szCs w:val="21"/>
                <w:highlight w:val="none"/>
                <w:lang w:eastAsia="zh-CN"/>
              </w:rPr>
              <w:t>控制在预算范围内。但预算项目有调整</w:t>
            </w:r>
            <w:r>
              <w:rPr>
                <w:rFonts w:hint="eastAsia" w:ascii="宋体" w:hAnsi="宋体" w:cs="宋体"/>
                <w:color w:val="auto"/>
                <w:kern w:val="0"/>
                <w:szCs w:val="21"/>
                <w:highlight w:val="none"/>
                <w:lang w:val="en-US" w:eastAsia="zh-CN"/>
              </w:rPr>
              <w:t>。</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项目产出证明材料；财务产出证明材料。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84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bCs/>
                <w:color w:val="auto"/>
                <w:kern w:val="0"/>
                <w:szCs w:val="21"/>
                <w:highlight w:val="none"/>
              </w:rPr>
            </w:pPr>
            <w:r>
              <w:rPr>
                <w:rFonts w:hint="eastAsia" w:ascii="宋体" w:hAnsi="宋体" w:cs="宋体"/>
                <w:bCs/>
                <w:color w:val="auto"/>
                <w:kern w:val="0"/>
                <w:szCs w:val="21"/>
                <w:highlight w:val="none"/>
              </w:rPr>
              <w:t>效果</w:t>
            </w:r>
          </w:p>
          <w:p>
            <w:pPr>
              <w:widowControl/>
              <w:spacing w:line="260" w:lineRule="exact"/>
              <w:rPr>
                <w:rFonts w:ascii="宋体" w:hAnsi="宋体" w:cs="宋体"/>
                <w:bCs/>
                <w:color w:val="auto"/>
                <w:kern w:val="0"/>
                <w:szCs w:val="21"/>
                <w:highlight w:val="none"/>
              </w:rPr>
            </w:pPr>
            <w:r>
              <w:rPr>
                <w:rFonts w:hint="eastAsia" w:ascii="宋体" w:hAnsi="宋体" w:cs="宋体"/>
                <w:bCs/>
                <w:color w:val="auto"/>
                <w:kern w:val="0"/>
                <w:szCs w:val="21"/>
                <w:highlight w:val="none"/>
              </w:rPr>
              <w:t>(30分)</w:t>
            </w:r>
          </w:p>
        </w:tc>
        <w:tc>
          <w:tcPr>
            <w:tcW w:w="76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（六）项目效果（30分）</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bCs/>
                <w:color w:val="auto"/>
                <w:kern w:val="0"/>
                <w:szCs w:val="21"/>
                <w:highlight w:val="none"/>
              </w:rPr>
            </w:pPr>
            <w:r>
              <w:rPr>
                <w:rFonts w:hint="eastAsia" w:ascii="宋体" w:hAnsi="宋体" w:cs="宋体"/>
                <w:bCs/>
                <w:color w:val="auto"/>
                <w:kern w:val="0"/>
                <w:szCs w:val="21"/>
                <w:highlight w:val="none"/>
                <w:lang w:val="en-US" w:eastAsia="zh-CN"/>
              </w:rPr>
              <w:t>18.</w:t>
            </w:r>
            <w:r>
              <w:rPr>
                <w:rFonts w:hint="eastAsia" w:ascii="宋体" w:hAnsi="宋体" w:cs="宋体"/>
                <w:bCs/>
                <w:color w:val="auto"/>
                <w:kern w:val="0"/>
                <w:szCs w:val="21"/>
                <w:highlight w:val="none"/>
              </w:rPr>
              <w:t>在网上公开发布基本单位和一套表调查单位的统计分析信息数量</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hint="eastAsia" w:ascii="宋体" w:hAnsi="宋体" w:eastAsia="宋体" w:cs="宋体"/>
                <w:bCs/>
                <w:color w:val="auto"/>
                <w:kern w:val="0"/>
                <w:szCs w:val="21"/>
                <w:highlight w:val="none"/>
                <w:lang w:val="en-US" w:eastAsia="zh-CN"/>
              </w:rPr>
            </w:pPr>
            <w:r>
              <w:rPr>
                <w:rFonts w:hint="eastAsia" w:ascii="宋体" w:hAnsi="宋体" w:cs="宋体"/>
                <w:bCs/>
                <w:color w:val="auto"/>
                <w:kern w:val="0"/>
                <w:szCs w:val="21"/>
                <w:highlight w:val="none"/>
              </w:rPr>
              <w:t>在网上公开发布基本单位和一套表调查单位的统计分析信息数量</w:t>
            </w:r>
            <w:r>
              <w:rPr>
                <w:rFonts w:hint="eastAsia" w:ascii="宋体" w:hAnsi="宋体" w:eastAsia="宋体" w:cs="宋体"/>
                <w:bCs/>
                <w:color w:val="auto"/>
                <w:kern w:val="0"/>
                <w:szCs w:val="21"/>
                <w:highlight w:val="none"/>
              </w:rPr>
              <w:t>≧</w:t>
            </w:r>
            <w:r>
              <w:rPr>
                <w:rFonts w:hint="eastAsia" w:ascii="宋体" w:hAnsi="宋体" w:cs="宋体"/>
                <w:bCs/>
                <w:color w:val="auto"/>
                <w:kern w:val="0"/>
                <w:szCs w:val="21"/>
                <w:highlight w:val="none"/>
                <w:lang w:val="en-US" w:eastAsia="zh-CN"/>
              </w:rPr>
              <w:t>4篇</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反映资金或项目实施直接产生的经济效益、社会效益、生态效益等。</w:t>
            </w:r>
          </w:p>
        </w:tc>
        <w:tc>
          <w:tcPr>
            <w:tcW w:w="337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效果指标：达到设定的效果目标得25分，基本达到按0-25分（不含25分）酌情给分.</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25</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25</w:t>
            </w:r>
          </w:p>
        </w:tc>
        <w:tc>
          <w:tcPr>
            <w:tcW w:w="235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color w:val="auto"/>
                <w:kern w:val="0"/>
                <w:szCs w:val="21"/>
                <w:highlight w:val="none"/>
                <w:lang w:val="en-US" w:eastAsia="zh-CN"/>
              </w:rPr>
            </w:pPr>
            <w:r>
              <w:rPr>
                <w:rFonts w:hint="eastAsia" w:ascii="宋体" w:hAnsi="宋体" w:cs="宋体"/>
                <w:color w:val="auto"/>
                <w:kern w:val="0"/>
                <w:szCs w:val="21"/>
                <w:highlight w:val="none"/>
                <w:lang w:eastAsia="zh-CN"/>
              </w:rPr>
              <w:t>全年</w:t>
            </w:r>
            <w:r>
              <w:rPr>
                <w:rFonts w:hint="eastAsia" w:ascii="宋体" w:hAnsi="宋体" w:cs="宋体"/>
                <w:color w:val="auto"/>
                <w:kern w:val="0"/>
                <w:szCs w:val="21"/>
                <w:highlight w:val="none"/>
              </w:rPr>
              <w:t>在网上公开发布基本单位和一套表调查单位的统计分析信息数量</w:t>
            </w:r>
            <w:r>
              <w:rPr>
                <w:rFonts w:hint="eastAsia" w:ascii="宋体" w:hAnsi="宋体" w:cs="宋体"/>
                <w:color w:val="auto"/>
                <w:kern w:val="0"/>
                <w:szCs w:val="21"/>
                <w:highlight w:val="none"/>
                <w:lang w:eastAsia="zh-CN"/>
              </w:rPr>
              <w:t>为</w:t>
            </w:r>
            <w:r>
              <w:rPr>
                <w:rFonts w:hint="eastAsia" w:ascii="宋体" w:hAnsi="宋体" w:cs="宋体"/>
                <w:color w:val="auto"/>
                <w:kern w:val="0"/>
                <w:szCs w:val="21"/>
                <w:highlight w:val="none"/>
                <w:lang w:val="en-US" w:eastAsia="zh-CN"/>
              </w:rPr>
              <w:t>33篇，已完成年初设定的目标。</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统计报表及上级业务主管部门、自治区党委政府公布的有关数据。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8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Cs/>
                <w:color w:val="auto"/>
                <w:kern w:val="0"/>
                <w:szCs w:val="21"/>
                <w:highlight w:val="none"/>
              </w:rPr>
            </w:pPr>
          </w:p>
        </w:tc>
        <w:tc>
          <w:tcPr>
            <w:tcW w:w="7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p>
        </w:tc>
        <w:tc>
          <w:tcPr>
            <w:tcW w:w="123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bCs/>
                <w:color w:val="auto"/>
                <w:kern w:val="0"/>
                <w:szCs w:val="21"/>
                <w:highlight w:val="none"/>
              </w:rPr>
            </w:pPr>
            <w:r>
              <w:rPr>
                <w:rFonts w:hint="eastAsia" w:ascii="宋体" w:hAnsi="宋体" w:cs="宋体"/>
                <w:bCs/>
                <w:color w:val="auto"/>
                <w:kern w:val="0"/>
                <w:szCs w:val="21"/>
                <w:highlight w:val="none"/>
                <w:lang w:val="en-US" w:eastAsia="zh-CN"/>
              </w:rPr>
              <w:t>19.</w:t>
            </w:r>
            <w:r>
              <w:rPr>
                <w:rFonts w:hint="eastAsia" w:ascii="宋体" w:hAnsi="宋体" w:cs="宋体"/>
                <w:bCs/>
                <w:color w:val="auto"/>
                <w:kern w:val="0"/>
                <w:szCs w:val="21"/>
                <w:highlight w:val="none"/>
              </w:rPr>
              <w:t>全区14个市名录维护机构对基本单位名录库建设更新维护工作的满意度</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hint="default" w:ascii="宋体" w:hAnsi="宋体" w:eastAsia="宋体" w:cs="宋体"/>
                <w:bCs/>
                <w:color w:val="auto"/>
                <w:kern w:val="0"/>
                <w:szCs w:val="21"/>
                <w:highlight w:val="none"/>
                <w:lang w:val="en-US" w:eastAsia="zh-CN"/>
              </w:rPr>
            </w:pPr>
            <w:r>
              <w:rPr>
                <w:rFonts w:hint="eastAsia" w:ascii="宋体" w:hAnsi="宋体" w:cs="宋体"/>
                <w:bCs/>
                <w:color w:val="auto"/>
                <w:kern w:val="0"/>
                <w:szCs w:val="21"/>
                <w:highlight w:val="none"/>
              </w:rPr>
              <w:t>全区14个市名录维护机构对基本单位名录库建设更新维护工作的满意度</w:t>
            </w:r>
            <w:r>
              <w:rPr>
                <w:rFonts w:hint="eastAsia" w:ascii="宋体" w:hAnsi="宋体" w:eastAsia="宋体" w:cs="宋体"/>
                <w:bCs/>
                <w:color w:val="auto"/>
                <w:kern w:val="0"/>
                <w:szCs w:val="21"/>
                <w:highlight w:val="none"/>
              </w:rPr>
              <w:t>≧</w:t>
            </w:r>
            <w:r>
              <w:rPr>
                <w:rFonts w:hint="eastAsia" w:ascii="宋体" w:hAnsi="宋体" w:cs="宋体"/>
                <w:bCs/>
                <w:color w:val="auto"/>
                <w:kern w:val="0"/>
                <w:szCs w:val="21"/>
                <w:highlight w:val="none"/>
                <w:lang w:val="en-US" w:eastAsia="zh-CN"/>
              </w:rPr>
              <w:t>85%</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考核项目直接受益人或基层实施人员满意度情况。</w:t>
            </w:r>
          </w:p>
        </w:tc>
        <w:tc>
          <w:tcPr>
            <w:tcW w:w="337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color w:val="auto"/>
                <w:kern w:val="0"/>
                <w:szCs w:val="21"/>
                <w:highlight w:val="none"/>
              </w:rPr>
            </w:pPr>
            <w:r>
              <w:rPr>
                <w:rFonts w:hint="eastAsia" w:ascii="宋体" w:hAnsi="宋体" w:cs="宋体"/>
                <w:color w:val="auto"/>
                <w:kern w:val="0"/>
                <w:szCs w:val="21"/>
                <w:highlight w:val="none"/>
              </w:rPr>
              <w:t>满意度指标：调查对象满意度90%以上（含90%）得5分，满意度60（含）-90%按分值乘以满意度计算得分，满意度低于60%得0分。</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5</w:t>
            </w:r>
          </w:p>
        </w:tc>
        <w:tc>
          <w:tcPr>
            <w:tcW w:w="235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2021年</w:t>
            </w:r>
            <w:r>
              <w:rPr>
                <w:rFonts w:hint="eastAsia" w:ascii="宋体" w:hAnsi="宋体" w:cs="宋体"/>
                <w:color w:val="auto"/>
                <w:kern w:val="0"/>
                <w:szCs w:val="21"/>
                <w:highlight w:val="none"/>
              </w:rPr>
              <w:t>全区14个市名录维护机构对基本单位名录库建设更新维护工作的满意度</w:t>
            </w:r>
            <w:r>
              <w:rPr>
                <w:rFonts w:hint="eastAsia" w:ascii="宋体" w:hAnsi="宋体" w:cs="宋体"/>
                <w:color w:val="auto"/>
                <w:kern w:val="0"/>
                <w:szCs w:val="21"/>
                <w:highlight w:val="none"/>
                <w:lang w:eastAsia="zh-CN"/>
              </w:rPr>
              <w:t>为</w:t>
            </w:r>
            <w:r>
              <w:rPr>
                <w:rFonts w:hint="eastAsia" w:ascii="宋体" w:hAnsi="宋体" w:cs="宋体"/>
                <w:color w:val="auto"/>
                <w:kern w:val="0"/>
                <w:szCs w:val="21"/>
                <w:highlight w:val="none"/>
              </w:rPr>
              <w:t>92.86%</w:t>
            </w:r>
            <w:r>
              <w:rPr>
                <w:rFonts w:hint="eastAsia" w:ascii="宋体" w:hAnsi="宋体" w:cs="宋体"/>
                <w:color w:val="auto"/>
                <w:kern w:val="0"/>
                <w:szCs w:val="21"/>
                <w:highlight w:val="none"/>
                <w:lang w:eastAsia="zh-CN"/>
              </w:rPr>
              <w:t>，大于设定的目标值</w:t>
            </w:r>
            <w:r>
              <w:rPr>
                <w:rFonts w:hint="eastAsia" w:ascii="宋体" w:hAnsi="宋体" w:cs="宋体"/>
                <w:color w:val="auto"/>
                <w:kern w:val="0"/>
                <w:szCs w:val="21"/>
                <w:highlight w:val="none"/>
                <w:lang w:val="en-US" w:eastAsia="zh-CN"/>
              </w:rPr>
              <w:t>。</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14465"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bCs/>
                <w:color w:val="auto"/>
                <w:kern w:val="0"/>
                <w:szCs w:val="21"/>
                <w:highlight w:val="none"/>
              </w:rPr>
            </w:pPr>
            <w:r>
              <w:rPr>
                <w:rFonts w:hint="eastAsia" w:ascii="宋体" w:hAnsi="宋体" w:cs="宋体"/>
                <w:bCs/>
                <w:color w:val="auto"/>
                <w:kern w:val="0"/>
                <w:szCs w:val="21"/>
                <w:highlight w:val="none"/>
              </w:rPr>
              <w:t>备注：1.自评阶段，被评价单位须按照批复的项目绩效目标对二级指标“产出”、“效果”进行细化，补充三、四级指标。2.评价实施阶段，</w:t>
            </w:r>
            <w:r>
              <w:rPr>
                <w:rFonts w:hint="eastAsia" w:ascii="宋体" w:hAnsi="宋体" w:cs="宋体"/>
                <w:bCs/>
                <w:color w:val="auto"/>
                <w:kern w:val="0"/>
                <w:szCs w:val="21"/>
                <w:highlight w:val="none"/>
                <w:lang w:eastAsia="zh-CN"/>
              </w:rPr>
              <w:t>评价主体</w:t>
            </w:r>
            <w:r>
              <w:rPr>
                <w:rFonts w:hint="eastAsia" w:ascii="宋体" w:hAnsi="宋体" w:cs="宋体"/>
                <w:bCs/>
                <w:color w:val="auto"/>
                <w:kern w:val="0"/>
                <w:szCs w:val="21"/>
                <w:highlight w:val="none"/>
              </w:rPr>
              <w:t>可结合被评价单位细化的“产出”和“效果”的三、四级指标，进一步补充、修改、完善，使“产出”、“效果”指标能真实、完整、科学地反映项目绩效情况。3.表中“——”不需要填写。</w:t>
            </w:r>
          </w:p>
        </w:tc>
      </w:tr>
    </w:tbl>
    <w:p>
      <w:pPr>
        <w:widowControl/>
        <w:jc w:val="left"/>
        <w:rPr>
          <w:rFonts w:ascii="仿宋_GB2312" w:eastAsia="仿宋_GB2312"/>
          <w:sz w:val="32"/>
          <w:szCs w:val="32"/>
        </w:rPr>
        <w:sectPr>
          <w:pgSz w:w="16838" w:h="11906" w:orient="landscape"/>
          <w:pgMar w:top="1531" w:right="2098" w:bottom="1418" w:left="1985" w:header="851" w:footer="992" w:gutter="0"/>
          <w:cols w:space="720" w:num="1"/>
          <w:docGrid w:type="linesAndChar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FA79DC"/>
    <w:rsid w:val="02FB38FB"/>
    <w:rsid w:val="0692414D"/>
    <w:rsid w:val="07507F3B"/>
    <w:rsid w:val="080715CC"/>
    <w:rsid w:val="083160E8"/>
    <w:rsid w:val="0E844C56"/>
    <w:rsid w:val="0F71139A"/>
    <w:rsid w:val="16E637DE"/>
    <w:rsid w:val="1BFC5484"/>
    <w:rsid w:val="1C9F5BC3"/>
    <w:rsid w:val="20DA59C1"/>
    <w:rsid w:val="26350024"/>
    <w:rsid w:val="335A27BC"/>
    <w:rsid w:val="36852F03"/>
    <w:rsid w:val="3C017769"/>
    <w:rsid w:val="3CC978C4"/>
    <w:rsid w:val="3D5308A2"/>
    <w:rsid w:val="3D730429"/>
    <w:rsid w:val="3E144CB3"/>
    <w:rsid w:val="3EAF485C"/>
    <w:rsid w:val="3EFA79DC"/>
    <w:rsid w:val="417B5DAC"/>
    <w:rsid w:val="42C91F0E"/>
    <w:rsid w:val="439F6AA0"/>
    <w:rsid w:val="44FB460D"/>
    <w:rsid w:val="4A391B3E"/>
    <w:rsid w:val="4ABF692B"/>
    <w:rsid w:val="4D6E48A1"/>
    <w:rsid w:val="50AC4D24"/>
    <w:rsid w:val="5BFD2E33"/>
    <w:rsid w:val="5F750008"/>
    <w:rsid w:val="66A33499"/>
    <w:rsid w:val="6C25719B"/>
    <w:rsid w:val="70312D1F"/>
    <w:rsid w:val="74627DAB"/>
    <w:rsid w:val="75504915"/>
    <w:rsid w:val="7A411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2022-08-29T02:06:00Z</dcterms:created>
  <dc:creator>GXTJJ</dc:creator>
  <cp:lastModifiedBy>GXTJJ</cp:lastModifiedBy>
  <dcterms:modified xsi:type="dcterms:W3CDTF">2022-09-08T02:40:19Z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